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Executed Master Services Agreement — Alpha Manufacturing Ltd and Rivell Technologies</w:t>
      </w:r>
    </w:p>
    <w:p>
      <w:pPr>
        <w:pStyle w:val="Heading1"/>
      </w:pPr>
      <w:r>
        <w:t xml:space="preserve">This Agreement was entered into as of March 3, 2025 by and between Alpha Manufacturing Ltd ("Customer") and Rivell Technologies Inc. ("Supplier").</w:t>
      </w:r>
    </w:p>
    <w:p>
      <w:pPr>
        <w:pStyle w:val="Normal"/>
      </w:pPr>
      <w:r>
        <w:t xml:space="preserve">The parties executed this Agreement on the date first written above following negotiation of the liability provisions. The final executed limitation of liability was two times the annual fees payable, reflecting the negotiated compromise between the parties.</w:t>
      </w:r>
    </w:p>
    <w:p>
      <w:pPr>
        <w:pStyle w:val="Normal"/>
      </w:pPr>
      <w:r>
        <w:t xml:space="preserve">Signed: A. Executive (Alpha Manufacturing Ltd), R. Counsel (Rivell Technologies Inc.).</w:t>
      </w:r>
    </w:p>
  </w:body>
</w:document>
</file>

<file path=word/styles.xml><?xml version="1.0" encoding="utf-8"?>
<w:styles xmlns:w="http://schemas.openxmlformats.org/wordprocessingml/2006/main">
  <w:style w:type="paragraph" w:styleId="Title">
    <w:name w:val="Title"/>
  </w:style>
  <w:style w:type="paragraph" w:styleId="Heading1">
    <w:name w:val="heading 1"/>
  </w:style>
  <w:style w:type="paragraph" w:styleId="Normal">
    <w:name w:val="Normal"/>
  </w:style>
</w:styles>
</file>