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two times the fees paid in the preceding 12 months.</w:t>
      </w:r>
    </w:p>
    <w:p>
      <w:pPr>
        <w:pStyle w:val="Heading1"/>
      </w:pPr>
      <w:r>
        <w:t xml:space="preserve">2. Indemnification</w:t>
      </w:r>
    </w:p>
    <w:p>
      <w:pPr>
        <w:pStyle w:val="Normal"/>
      </w:pPr>
      <w:r>
        <w:t xml:space="preserve">Supplier shall defend Customer against third-party intellectual property claims arising from the Services, subject to the limitations in Section 1.</w:t>
      </w:r>
    </w:p>
    <w:p>
      <w:pPr>
        <w:pStyle w:val="Heading1"/>
      </w:pPr>
      <w:r>
        <w:t xml:space="preserve">3. Confidentiality</w:t>
      </w:r>
    </w:p>
    <w:p>
      <w:pPr>
        <w:pStyle w:val="Normal"/>
      </w:pPr>
      <w:r>
        <w:t xml:space="preserve">Each Party shall protect the other Party's confidential information with reasonable care and use it only for the purposes of this Agreement.</w:t>
      </w:r>
    </w:p>
    <w:p>
      <w:pPr>
        <w:pStyle w:val="Heading1"/>
      </w:pPr>
      <w:r>
        <w:t xml:space="preserve">4. Termination</w:t>
      </w:r>
    </w:p>
    <w:p>
      <w:pPr>
        <w:pStyle w:val="Normal"/>
      </w:pPr>
      <w:r>
        <w:t xml:space="preserve">4.1 Either Party may terminate this Agreement for convenience upon sixty (60) days' prior written notice to the other Party.</w:t>
      </w:r>
    </w:p>
    <w:p>
      <w:pPr>
        <w:pStyle w:val="Heading1"/>
      </w:pPr>
      <w:r>
        <w:t xml:space="preserve">5. Governing Law</w:t>
      </w:r>
    </w:p>
    <w:p>
      <w:pPr>
        <w:pStyle w:val="Normal"/>
      </w:pPr>
      <w:r>
        <w:t xml:space="preserve">5.1 This Agreement is governed by the laws of the State of Delaware.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