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rFonts w:ascii="Arial" w:hAnsi="Arial"/>
          <w:b/>
          <w:color w:val="2C7777"/>
          <w:sz w:val="17"/>
        </w:rPr>
        <w:t>LINDENWAKE ROUTE SYSTEMS | INTERNAL GUIDANCE</w:t>
      </w:r>
    </w:p>
    <w:p>
      <w:pPr>
        <w:keepNext/>
        <w:spacing w:after="40"/>
      </w:pPr>
      <w:r>
        <w:rPr>
          <w:rFonts w:ascii="Arial" w:hAnsi="Arial"/>
          <w:b/>
          <w:color w:val="19384D"/>
          <w:sz w:val="48"/>
        </w:rPr>
        <w:t>Mutual NDA Negotiation Guide</w:t>
      </w:r>
    </w:p>
    <w:p>
      <w:pPr>
        <w:keepNext/>
        <w:spacing w:after="200"/>
      </w:pPr>
      <w:r>
        <w:rPr>
          <w:rFonts w:ascii="Arial" w:hAnsi="Arial"/>
          <w:color w:val="60717B"/>
          <w:sz w:val="22"/>
        </w:rPr>
        <w:t>Business Development | Software Integration and Channel Evaluations</w:t>
      </w:r>
    </w:p>
    <w:tbl>
      <w:tblPr>
        <w:tblW w:type="auto" w:w="0"/>
        <w:jc w:val="left"/>
        <w:tblLayout w:type="fixed"/>
        <w:tblLook w:firstColumn="1" w:firstRow="1" w:lastColumn="0" w:lastRow="0" w:noHBand="0" w:noVBand="1" w:val="04A0"/>
        <w:tblBorders>
          <w:top w:val="single" w:sz="4" w:space="0" w:color="D4DEE3"/>
          <w:left w:val="single" w:sz="4" w:space="0" w:color="D4DEE3"/>
          <w:bottom w:val="single" w:sz="4" w:space="0" w:color="D4DEE3"/>
          <w:right w:val="single" w:sz="4" w:space="0" w:color="D4DEE3"/>
          <w:insideH w:val="single" w:sz="4" w:space="0" w:color="D4DEE3"/>
          <w:insideV w:val="single" w:sz="4" w:space="0" w:color="D4DEE3"/>
        </w:tblBorders>
      </w:tblPr>
      <w:tblGrid>
        <w:gridCol w:w="5083"/>
        <w:gridCol w:w="5083"/>
      </w:tblGrid>
      <w:tr>
        <w:trPr>
          <w:cantSplit/>
        </w:trPr>
        <w:tc>
          <w:tcPr>
            <w:tcW w:type="dxa" w:w="5040"/>
            <w:shd w:fill="EEF3F5"/>
            <w:tcMar>
              <w:top w:w="90" w:type="dxa"/>
              <w:start w:w="110" w:type="dxa"/>
              <w:bottom w:w="90" w:type="dxa"/>
              <w:end w:w="110" w:type="dxa"/>
            </w:tcMar>
            <w:vAlign w:val="center"/>
          </w:tcPr>
          <w:p>
            <w:pPr>
              <w:spacing w:after="20"/>
            </w:pPr>
            <w:r>
              <w:rPr>
                <w:rFonts w:ascii="Arial" w:hAnsi="Arial"/>
                <w:b/>
                <w:color w:val="2C7777"/>
                <w:sz w:val="15"/>
              </w:rPr>
              <w:t>OWNER</w:t>
            </w:r>
          </w:p>
          <w:p>
            <w:pPr>
              <w:spacing w:after="0"/>
            </w:pPr>
            <w:r>
              <w:rPr>
                <w:rFonts w:ascii="Arial" w:hAnsi="Arial"/>
                <w:color w:val="242F36"/>
                <w:sz w:val="18"/>
              </w:rPr>
              <w:t>Director, Commercial Legal</w:t>
            </w:r>
          </w:p>
        </w:tc>
        <w:tc>
          <w:tcPr>
            <w:tcW w:type="dxa" w:w="5040"/>
            <w:shd w:fill="EEF3F5"/>
            <w:tcMar>
              <w:top w:w="90" w:type="dxa"/>
              <w:start w:w="110" w:type="dxa"/>
              <w:bottom w:w="90" w:type="dxa"/>
              <w:end w:w="110" w:type="dxa"/>
            </w:tcMar>
            <w:vAlign w:val="center"/>
          </w:tcPr>
          <w:p>
            <w:pPr>
              <w:spacing w:after="20"/>
            </w:pPr>
            <w:r>
              <w:rPr>
                <w:rFonts w:ascii="Arial" w:hAnsi="Arial"/>
                <w:b/>
                <w:color w:val="2C7777"/>
                <w:sz w:val="15"/>
              </w:rPr>
              <w:t>APPROVAL</w:t>
            </w:r>
          </w:p>
          <w:p>
            <w:pPr>
              <w:spacing w:after="0"/>
            </w:pPr>
            <w:r>
              <w:rPr>
                <w:rFonts w:ascii="Arial" w:hAnsi="Arial"/>
                <w:color w:val="242F36"/>
                <w:sz w:val="18"/>
              </w:rPr>
              <w:t>General Counsel</w:t>
            </w:r>
          </w:p>
        </w:tc>
      </w:tr>
      <w:tr>
        <w:trPr>
          <w:cantSplit/>
        </w:trPr>
        <w:tc>
          <w:tcPr>
            <w:tcW w:type="dxa" w:w="5040"/>
            <w:shd w:fill="F7F9FA"/>
            <w:tcMar>
              <w:top w:w="90" w:type="dxa"/>
              <w:start w:w="110" w:type="dxa"/>
              <w:bottom w:w="90" w:type="dxa"/>
              <w:end w:w="110" w:type="dxa"/>
            </w:tcMar>
            <w:vAlign w:val="center"/>
          </w:tcPr>
          <w:p>
            <w:pPr>
              <w:spacing w:after="20"/>
            </w:pPr>
            <w:r>
              <w:rPr>
                <w:rFonts w:ascii="Arial" w:hAnsi="Arial"/>
                <w:b/>
                <w:color w:val="2C7777"/>
                <w:sz w:val="15"/>
              </w:rPr>
              <w:t>VERSION</w:t>
            </w:r>
          </w:p>
          <w:p>
            <w:pPr>
              <w:spacing w:after="0"/>
            </w:pPr>
            <w:r>
              <w:rPr>
                <w:rFonts w:ascii="Arial" w:hAnsi="Arial"/>
                <w:color w:val="242F36"/>
                <w:sz w:val="18"/>
              </w:rPr>
              <w:t>1.0</w:t>
            </w:r>
          </w:p>
        </w:tc>
        <w:tc>
          <w:tcPr>
            <w:tcW w:type="dxa" w:w="5040"/>
            <w:shd w:fill="F7F9FA"/>
            <w:tcMar>
              <w:top w:w="90" w:type="dxa"/>
              <w:start w:w="110" w:type="dxa"/>
              <w:bottom w:w="90" w:type="dxa"/>
              <w:end w:w="110" w:type="dxa"/>
            </w:tcMar>
            <w:vAlign w:val="center"/>
          </w:tcPr>
          <w:p>
            <w:pPr>
              <w:spacing w:after="20"/>
            </w:pPr>
            <w:r>
              <w:rPr>
                <w:rFonts w:ascii="Arial" w:hAnsi="Arial"/>
                <w:b/>
                <w:color w:val="2C7777"/>
                <w:sz w:val="15"/>
              </w:rPr>
              <w:t>EFFECTIVE</w:t>
            </w:r>
          </w:p>
          <w:p>
            <w:pPr>
              <w:spacing w:after="0"/>
            </w:pPr>
            <w:r>
              <w:rPr>
                <w:rFonts w:ascii="Arial" w:hAnsi="Arial"/>
                <w:color w:val="242F36"/>
                <w:sz w:val="18"/>
              </w:rPr>
              <w:t>1 October 2026</w:t>
            </w:r>
          </w:p>
        </w:tc>
      </w:tr>
      <w:tr>
        <w:trPr>
          <w:cantSplit/>
        </w:trPr>
        <w:tc>
          <w:tcPr>
            <w:tcW w:type="dxa" w:w="5040"/>
            <w:shd w:fill="EEF3F5"/>
            <w:tcMar>
              <w:top w:w="90" w:type="dxa"/>
              <w:start w:w="110" w:type="dxa"/>
              <w:bottom w:w="90" w:type="dxa"/>
              <w:end w:w="110" w:type="dxa"/>
            </w:tcMar>
            <w:vAlign w:val="center"/>
          </w:tcPr>
          <w:p>
            <w:pPr>
              <w:spacing w:after="20"/>
            </w:pPr>
            <w:r>
              <w:rPr>
                <w:rFonts w:ascii="Arial" w:hAnsi="Arial"/>
                <w:b/>
                <w:color w:val="2C7777"/>
                <w:sz w:val="15"/>
              </w:rPr>
              <w:t>APPLIES TO</w:t>
            </w:r>
          </w:p>
          <w:p>
            <w:pPr>
              <w:spacing w:after="0"/>
            </w:pPr>
            <w:r>
              <w:rPr>
                <w:rFonts w:ascii="Arial" w:hAnsi="Arial"/>
                <w:color w:val="242F36"/>
                <w:sz w:val="18"/>
              </w:rPr>
              <w:t>Pre-contract NDAs for integration and channel evaluations</w:t>
            </w:r>
          </w:p>
        </w:tc>
        <w:tc>
          <w:tcPr>
            <w:tcW w:type="dxa" w:w="5040"/>
            <w:shd w:fill="EEF3F5"/>
            <w:tcMar>
              <w:top w:w="90" w:type="dxa"/>
              <w:start w:w="110" w:type="dxa"/>
              <w:bottom w:w="90" w:type="dxa"/>
              <w:end w:w="110" w:type="dxa"/>
            </w:tcMar>
            <w:vAlign w:val="center"/>
          </w:tcPr>
          <w:p>
            <w:pPr>
              <w:spacing w:after="20"/>
            </w:pPr>
            <w:r>
              <w:rPr>
                <w:rFonts w:ascii="Arial" w:hAnsi="Arial"/>
                <w:b/>
                <w:color w:val="2C7777"/>
                <w:sz w:val="15"/>
              </w:rPr>
              <w:t>REVIEW</w:t>
            </w:r>
          </w:p>
          <w:p>
            <w:pPr>
              <w:spacing w:after="0"/>
            </w:pPr>
            <w:r>
              <w:rPr>
                <w:rFonts w:ascii="Arial" w:hAnsi="Arial"/>
                <w:color w:val="242F36"/>
                <w:sz w:val="18"/>
              </w:rPr>
              <w:t>1 April 2027 or upon material change</w:t>
            </w:r>
          </w:p>
        </w:tc>
      </w:tr>
    </w:tbl>
    <w:p>
      <w:pPr>
        <w:spacing w:after="20"/>
      </w:pPr>
    </w:p>
    <w:tbl>
      <w:tblPr>
        <w:tblW w:type="auto" w:w="0"/>
        <w:jc w:val="left"/>
        <w:tblLook w:firstColumn="1" w:firstRow="1" w:lastColumn="0" w:lastRow="0" w:noHBand="0" w:noVBand="1" w:val="04A0"/>
        <w:tblBorders>
          <w:top w:val="single" w:sz="5" w:space="0" w:color="C8DAD8"/>
          <w:left w:val="single" w:sz="5" w:space="0" w:color="C8DAD8"/>
          <w:bottom w:val="single" w:sz="5" w:space="0" w:color="C8DAD8"/>
          <w:right w:val="single" w:sz="5" w:space="0" w:color="C8DAD8"/>
          <w:insideH w:val="single" w:sz="5" w:space="0" w:color="C8DAD8"/>
          <w:insideV w:val="single" w:sz="5" w:space="0" w:color="C8DAD8"/>
        </w:tblBorders>
      </w:tblPr>
      <w:tblGrid>
        <w:gridCol w:w="10166"/>
      </w:tblGrid>
      <w:tr>
        <w:tc>
          <w:tcPr>
            <w:tcW w:type="dxa" w:w="10166"/>
            <w:shd w:fill="EAF3F2"/>
            <w:tcMar>
              <w:top w:w="110" w:type="dxa"/>
              <w:start w:w="150" w:type="dxa"/>
              <w:bottom w:w="110" w:type="dxa"/>
              <w:end w:w="150" w:type="dxa"/>
            </w:tcMar>
          </w:tcPr>
          <w:p>
            <w:pPr>
              <w:spacing w:after="40"/>
            </w:pPr>
            <w:r>
              <w:rPr>
                <w:rFonts w:ascii="Arial" w:hAnsi="Arial"/>
                <w:b/>
                <w:color w:val="2C7777"/>
                <w:sz w:val="16"/>
              </w:rPr>
              <w:t>INTERNAL USE ONLY</w:t>
            </w:r>
          </w:p>
          <w:p>
            <w:pPr>
              <w:spacing w:after="0" w:line="250" w:lineRule="auto"/>
            </w:pPr>
            <w:r>
              <w:rPr>
                <w:rFonts w:ascii="Arial" w:hAnsi="Arial"/>
                <w:b/>
                <w:color w:val="242F36"/>
                <w:sz w:val="18"/>
              </w:rPr>
              <w:t>This guide sets the positions and approval path for pre-contract discussions. Do not send it to Redbarrow or attach it to a counterparty email.</w:t>
            </w:r>
          </w:p>
        </w:tc>
      </w:tr>
    </w:tbl>
    <w:p>
      <w:pPr>
        <w:spacing w:after="20"/>
      </w:pPr>
    </w:p>
    <w:p>
      <w:pPr>
        <w:pStyle w:val="Heading1"/>
      </w:pPr>
      <w:r>
        <w:t>Purpose and current matter</w:t>
      </w:r>
    </w:p>
    <w:p>
      <w:pPr>
        <w:widowControl/>
      </w:pPr>
      <w:r>
        <w:rPr>
          <w:rFonts w:ascii="Arial" w:hAnsi="Arial"/>
          <w:i w:val="0"/>
          <w:color w:val="242F36"/>
          <w:sz w:val="20"/>
        </w:rPr>
        <w:t>Use this guide when a prospective technology, data, or channel partner asks Lindenwake to exchange confidential information before a commercial or integration agreement is in place. It is written for counsel and business-development staff handling the proposed RoutePilot and Redbarrow Fleet Networks evaluation.</w:t>
      </w:r>
    </w:p>
    <w:p>
      <w:pPr>
        <w:widowControl/>
      </w:pPr>
      <w:r>
        <w:rPr>
          <w:rFonts w:ascii="Arial" w:hAnsi="Arial"/>
          <w:i w:val="0"/>
          <w:color w:val="242F36"/>
          <w:sz w:val="20"/>
        </w:rPr>
        <w:t>Lindenwake is a 240-person Delaware corporation headquartered in Columbus, Ohio. Its RoutePilot service schedules deliveries and field-service visits for regional distributors and maintenance businesses. Redbarrow Fleet Networks, Inc. is a Wisconsin corporation headquartered in Milwaukee. Its FleetCurrent telematics service has a larger installed base and a route into customers Lindenwake wants to reach. The parties are considering a connector that would let vehicle events inform RoutePilot scheduling, followed by a possible non-exclusive distribution arrangement.</w:t>
      </w:r>
    </w:p>
    <w:p>
      <w:pPr>
        <w:widowControl/>
      </w:pPr>
      <w:r>
        <w:rPr>
          <w:rFonts w:ascii="Arial" w:hAnsi="Arial"/>
          <w:i w:val="0"/>
          <w:color w:val="242F36"/>
          <w:sz w:val="20"/>
        </w:rPr>
        <w:t>The commercial team wants a technical workshop on 6 November 2026 and a go/no-go decision by 4 December for an early-2027 customer pilot. Sandbox access is targeted for 23 October. Redbarrow controls the API documentation and test environment; Lindenwake brings valuable routing logic, product plans, and implementation know-how. The opportunity matters, but neither party has committed to build, buy, distribute, or launch anything.</w:t>
      </w:r>
    </w:p>
    <w:p>
      <w:pPr>
        <w:pStyle w:val="Heading1"/>
      </w:pPr>
      <w:r>
        <w:t>How to use the guide</w:t>
      </w:r>
    </w:p>
    <w:p>
      <w:pPr>
        <w:widowControl/>
      </w:pPr>
      <w:r>
        <w:rPr>
          <w:rFonts w:ascii="Arial" w:hAnsi="Arial"/>
          <w:i w:val="0"/>
          <w:color w:val="242F36"/>
          <w:sz w:val="20"/>
        </w:rPr>
        <w:t>Review the information flow and proposed use before editing language. Use Redbarrow's paper when it can support the agreed evaluation. Focus the first response on the purpose, use restrictions, protection period, data boundary, and any term that would change what the teams can do. Keep ordinary mechanics moving. A signed NDA is only a bridge to evaluation; it does not replace an integration agreement, statement of work, privacy terms, or security review.</w:t>
      </w:r>
    </w:p>
    <w:p>
      <w:pPr>
        <w:pStyle w:val="ListBullet"/>
        <w:widowControl/>
        <w:spacing w:after="40" w:line="247" w:lineRule="auto"/>
        <w:ind w:left="331" w:hanging="216"/>
      </w:pPr>
      <w:r>
        <w:rPr>
          <w:rFonts w:ascii="Arial" w:hAnsi="Arial"/>
          <w:color w:val="242F36"/>
          <w:sz w:val="19"/>
        </w:rPr>
        <w:t>Ask each business lead what they expect to disclose and who will receive it. Confirm whether the evaluation is mutual in practice, not just in the form.</w:t>
      </w:r>
    </w:p>
    <w:p>
      <w:pPr>
        <w:pStyle w:val="ListBullet"/>
        <w:widowControl/>
        <w:spacing w:after="40" w:line="247" w:lineRule="auto"/>
        <w:ind w:left="331" w:hanging="216"/>
      </w:pPr>
      <w:r>
        <w:rPr>
          <w:rFonts w:ascii="Arial" w:hAnsi="Arial"/>
          <w:color w:val="242F36"/>
          <w:sz w:val="19"/>
        </w:rPr>
        <w:t>Confirm the permitted test environment, data source, and people who will access it. If a team proposes production access or customer-specific records, pause that work and use the approval path below.</w:t>
      </w:r>
    </w:p>
    <w:p>
      <w:pPr>
        <w:pStyle w:val="ListBullet"/>
        <w:widowControl/>
        <w:spacing w:after="40" w:line="247" w:lineRule="auto"/>
        <w:ind w:left="331" w:hanging="216"/>
      </w:pPr>
      <w:r>
        <w:rPr>
          <w:rFonts w:ascii="Arial" w:hAnsi="Arial"/>
          <w:color w:val="242F36"/>
          <w:sz w:val="19"/>
        </w:rPr>
        <w:t>Check whether anyone has already shared non-public information. The current Redbarrow discussions have covered public product descriptions only. If that changes, include the actual earlier disclosure period in the NDA or hold further disclosure until the document is signed.</w:t>
      </w:r>
    </w:p>
    <w:p>
      <w:pPr>
        <w:pStyle w:val="Heading1"/>
      </w:pPr>
      <w:r>
        <w:t>The deal boundary</w:t>
      </w:r>
    </w:p>
    <w:p>
      <w:pPr>
        <w:widowControl/>
      </w:pPr>
      <w:r>
        <w:rPr>
          <w:rFonts w:ascii="Arial" w:hAnsi="Arial"/>
          <w:i w:val="0"/>
          <w:color w:val="242F36"/>
          <w:sz w:val="20"/>
        </w:rPr>
        <w:t>The NDA may support internal evaluation, planning, negotiation, and a limited non-production sandbox test. It must not create production rights, service levels, exclusivity, customer access, a right to use either product outside the evaluation, or a promise to proceed. A commercial pilot or deployment needs a separate signed document that covers scope, support, fees, customer consent, security, data processing, and intellectual property.</w:t>
      </w:r>
    </w:p>
    <w:p>
      <w:pPr>
        <w:widowControl/>
      </w:pPr>
      <w:r>
        <w:rPr>
          <w:rFonts w:ascii="Arial" w:hAnsi="Arial"/>
          <w:i w:val="0"/>
          <w:color w:val="242F36"/>
          <w:sz w:val="20"/>
        </w:rPr>
        <w:t>For this matter, engineering may use test credentials issued for Redbarrow's sandbox and synthetic or public examples. It may not upload live vehicle feeds, precise location histories, driver or passenger identifiers, customer names, or production credentials. Aggregated information is not automatically safe: ask Privacy to assess whether a person, vehicle, or customer can be identified or inferred.</w:t>
      </w:r>
    </w:p>
    <w:tbl>
      <w:tblPr>
        <w:tblW w:type="auto" w:w="0"/>
        <w:jc w:val="left"/>
        <w:tblLook w:firstColumn="1" w:firstRow="1" w:lastColumn="0" w:lastRow="0" w:noHBand="0" w:noVBand="1" w:val="04A0"/>
        <w:tblBorders>
          <w:top w:val="single" w:sz="5" w:space="0" w:color="C8DAD8"/>
          <w:left w:val="single" w:sz="5" w:space="0" w:color="C8DAD8"/>
          <w:bottom w:val="single" w:sz="5" w:space="0" w:color="C8DAD8"/>
          <w:right w:val="single" w:sz="5" w:space="0" w:color="C8DAD8"/>
          <w:insideH w:val="single" w:sz="5" w:space="0" w:color="C8DAD8"/>
          <w:insideV w:val="single" w:sz="5" w:space="0" w:color="C8DAD8"/>
        </w:tblBorders>
      </w:tblPr>
      <w:tblGrid>
        <w:gridCol w:w="10166"/>
      </w:tblGrid>
      <w:tr>
        <w:tc>
          <w:tcPr>
            <w:tcW w:type="dxa" w:w="10166"/>
            <w:shd w:fill="EAF3F2"/>
            <w:tcMar>
              <w:top w:w="110" w:type="dxa"/>
              <w:start w:w="150" w:type="dxa"/>
              <w:bottom w:w="110" w:type="dxa"/>
              <w:end w:w="150" w:type="dxa"/>
            </w:tcMar>
          </w:tcPr>
          <w:p>
            <w:pPr>
              <w:spacing w:after="40"/>
            </w:pPr>
            <w:r>
              <w:rPr>
                <w:rFonts w:ascii="Arial" w:hAnsi="Arial"/>
                <w:b/>
                <w:color w:val="2C7777"/>
                <w:sz w:val="16"/>
              </w:rPr>
              <w:t>DO NOT TRADE THIS BOUNDARY FOR SPEED</w:t>
            </w:r>
          </w:p>
          <w:p>
            <w:pPr>
              <w:spacing w:after="0" w:line="250" w:lineRule="auto"/>
            </w:pPr>
            <w:r>
              <w:rPr>
                <w:rFonts w:ascii="Arial" w:hAnsi="Arial"/>
                <w:b/>
                <w:color w:val="242F36"/>
                <w:sz w:val="18"/>
              </w:rPr>
              <w:t>No live or identifiable fleet data, production credentials, or customer-specific operational records may enter the evaluation under an NDA alone. Privacy, Security, Commercial Legal, and the business owner must approve any expanded data flow, with the relevant customer approval and separate written data/security terms in place first.</w:t>
            </w:r>
          </w:p>
        </w:tc>
      </w:tr>
    </w:tbl>
    <w:p>
      <w:pPr>
        <w:spacing w:after="20"/>
      </w:pPr>
    </w:p>
    <w:p>
      <w:pPr>
        <w:pStyle w:val="Heading1"/>
      </w:pPr>
      <w:r>
        <w:t>Negotiation positions</w:t>
      </w:r>
    </w:p>
    <w:p>
      <w:pPr>
        <w:pStyle w:val="Heading2"/>
      </w:pPr>
      <w:r>
        <w:t>Scope, confidential information, and exclusions</w:t>
      </w:r>
    </w:p>
    <w:p>
      <w:pPr>
        <w:widowControl/>
      </w:pPr>
      <w:r>
        <w:rPr>
          <w:rFonts w:ascii="Arial" w:hAnsi="Arial"/>
          <w:i w:val="0"/>
          <w:color w:val="242F36"/>
          <w:sz w:val="20"/>
        </w:rPr>
        <w:t>Use a definition that covers information marked confidential and information that a reasonable recipient would understand is confidential from its nature or the way it is shared. It should cover demonstrations and oral discussions as well as files. A practical marking rule is useful for information whose sensitivity is not apparent: identify an oral disclosure when made and confirm it in writing within 20 business days. Do not let a marking rule strip protection from API specifications, security material, source code, customer workflows, product plans, or other plainly sensitive information.</w:t>
      </w:r>
    </w:p>
    <w:p>
      <w:pPr>
        <w:widowControl/>
      </w:pPr>
      <w:r>
        <w:rPr>
          <w:rFonts w:ascii="Arial" w:hAnsi="Arial"/>
          <w:i w:val="0"/>
          <w:color w:val="242F36"/>
          <w:sz w:val="20"/>
        </w:rPr>
        <w:t>Keep the usual exclusions: public without a breach; already known without a duty; rightfully obtained from a third party without a duty; and independently developed without use of the other party's information. The recipient should be able to support an exclusion with records or other reliable evidence. Do not narrow independent development so far that ordinary parallel engineering becomes a breach.</w:t>
      </w:r>
    </w:p>
    <w:p>
      <w:pPr>
        <w:pStyle w:val="Heading2"/>
      </w:pPr>
      <w:r>
        <w:t>Permitted use and intellectual property</w:t>
      </w:r>
    </w:p>
    <w:p>
      <w:pPr>
        <w:widowControl/>
      </w:pPr>
      <w:r>
        <w:rPr>
          <w:rFonts w:ascii="Arial" w:hAnsi="Arial"/>
          <w:i w:val="0"/>
          <w:color w:val="242F36"/>
          <w:sz w:val="20"/>
        </w:rPr>
        <w:t>Limit use to evaluating, planning, and negotiating the described integration and distribution opportunity, plus a non-production test expressly within the agreed sandbox. Do not accept use for production, competing-product development, benchmarking for publication, customer deployment, marketing, or training a general or externally shared AI/ML model. A permitted test license should be narrow, revocable, non-exclusive, and limited to the evaluation. No background IP, source code, inventions, test results, or joint-development rights transfer under an NDA.</w:t>
      </w:r>
    </w:p>
    <w:p>
      <w:pPr>
        <w:widowControl/>
      </w:pPr>
      <w:r>
        <w:rPr>
          <w:rFonts w:ascii="Arial" w:hAnsi="Arial"/>
          <w:i w:val="0"/>
          <w:color w:val="242F36"/>
          <w:sz w:val="20"/>
        </w:rPr>
        <w:t>A standard no-license clause is acceptable if it leaves the recipient enough permission to inspect and test the materials actually provided. A reverse-engineering restriction is reasonable for software, devices, and prototypes; it must not prevent use of documented APIs in the approved sandbox. Do not agree to residuals or unaided-memory rights. If Redbarrow asks to use feedback, narrow it to voluntary, general product suggestions that do not contain or reveal Lindenwake information, customer facts, code, or other protected material. Do not assign feedback or evaluation output.</w:t>
      </w:r>
    </w:p>
    <w:p>
      <w:pPr>
        <w:pStyle w:val="Heading2"/>
      </w:pPr>
      <w:r>
        <w:t>Representatives, affiliates, and onward sharing</w:t>
      </w:r>
    </w:p>
    <w:p>
      <w:pPr>
        <w:widowControl/>
      </w:pPr>
      <w:r>
        <w:rPr>
          <w:rFonts w:ascii="Arial" w:hAnsi="Arial"/>
          <w:i w:val="0"/>
          <w:color w:val="242F36"/>
          <w:sz w:val="20"/>
        </w:rPr>
        <w:t>Allow employees and outside professional advisers with a genuine need to know, and contractors who support the evaluation and are under written duties at least as protective as the NDA. Controlled affiliates may be included if access is necessary, the affiliate is not a competitor, and the recipient remains responsible for its people and entities. Employment, professional, or written contractual duties can provide the necessary protection; do not insist that every individual sign a separate NDA.</w:t>
      </w:r>
    </w:p>
    <w:p>
      <w:pPr>
        <w:widowControl/>
      </w:pPr>
      <w:r>
        <w:rPr>
          <w:rFonts w:ascii="Arial" w:hAnsi="Arial"/>
          <w:i w:val="0"/>
          <w:color w:val="242F36"/>
          <w:sz w:val="20"/>
        </w:rPr>
        <w:t>Ask for consent before information goes to an uncontrolled affiliate, investor, portfolio company, reseller, or person who competes with the discloser. If the parties have overlapping customer or product interests, keep commercial pricing, customer strategy, and competitively sensitive information out of broad affiliate circulation. Do not use the NDA to restrict either party's ordinary business or independent development.</w:t>
      </w:r>
    </w:p>
    <w:p>
      <w:pPr>
        <w:pStyle w:val="Heading2"/>
      </w:pPr>
      <w:r>
        <w:t>Term and survival</w:t>
      </w:r>
    </w:p>
    <w:p>
      <w:pPr>
        <w:widowControl/>
      </w:pPr>
      <w:r>
        <w:rPr>
          <w:rFonts w:ascii="Arial" w:hAnsi="Arial"/>
          <w:i w:val="0"/>
          <w:color w:val="242F36"/>
          <w:sz w:val="20"/>
        </w:rPr>
        <w:t>Keep two clocks distinct. The disclosure window should be three years from the effective date. For the Redbarrow evaluation, a two-year window is acceptable, although longer than the expected test period. An 18-month window is also acceptable; a 12-month window can work if extensions are easy and no later disclosures are expected. End disclosure rights on termination, but do not end protection for material already received.</w:t>
      </w:r>
    </w:p>
    <w:p>
      <w:pPr>
        <w:widowControl/>
      </w:pPr>
      <w:r>
        <w:rPr>
          <w:rFonts w:ascii="Arial" w:hAnsi="Arial"/>
          <w:i w:val="0"/>
          <w:color w:val="242F36"/>
          <w:sz w:val="20"/>
        </w:rPr>
        <w:t>Preferred protection for ordinary confidential information is five years from each disclosure. Four years is an acceptable fallback for this integration discussion and covers Redbarrow's current proposal. Three years may be approved for high-level commercial information that will become stale quickly and does not expose customer identity or technical know-how. Trade secrets remain protected for as long as they qualify as trade secrets under applicable law. Escalate shorter periods for source code, algorithms, security details, customer data, or a long-lived device/API design.</w:t>
      </w:r>
    </w:p>
    <w:p>
      <w:pPr>
        <w:pStyle w:val="Heading2"/>
      </w:pPr>
      <w:r>
        <w:t>Return, deletion, and practical retention</w:t>
      </w:r>
    </w:p>
    <w:p>
      <w:pPr>
        <w:widowControl/>
      </w:pPr>
      <w:r>
        <w:rPr>
          <w:rFonts w:ascii="Arial" w:hAnsi="Arial"/>
          <w:i w:val="0"/>
          <w:color w:val="242F36"/>
          <w:sz w:val="20"/>
        </w:rPr>
        <w:t>On the discloser's written request or when the evaluation ends, stop use and return or delete the other party's confidential information, including working copies, within 30 days. The discloser may ask for a written certification from an appropriate officer or responsible manager. We should be able to delete active copies and instruct representatives to do the same.</w:t>
      </w:r>
    </w:p>
    <w:p>
      <w:pPr>
        <w:widowControl/>
      </w:pPr>
      <w:r>
        <w:rPr>
          <w:rFonts w:ascii="Arial" w:hAnsi="Arial"/>
          <w:i w:val="0"/>
          <w:color w:val="242F36"/>
          <w:sz w:val="20"/>
        </w:rPr>
        <w:t>Accept retention in ordinary system backups that cannot reasonably be isolated or accessed in the normal course, if retained data stays protected and is not restored for use. Also accept one archival copy held by Legal or Compliance for records or a legal hold. Keep those exceptions narrow; they do not allow an engineering archive, ongoing access, or further evaluation.</w:t>
      </w:r>
    </w:p>
    <w:p>
      <w:pPr>
        <w:pStyle w:val="Heading2"/>
      </w:pPr>
      <w:r>
        <w:t>Legal process, remedies, and other terms</w:t>
      </w:r>
    </w:p>
    <w:p>
      <w:pPr>
        <w:widowControl/>
      </w:pPr>
      <w:r>
        <w:rPr>
          <w:rFonts w:ascii="Arial" w:hAnsi="Arial"/>
          <w:i w:val="0"/>
          <w:color w:val="242F36"/>
          <w:sz w:val="20"/>
        </w:rPr>
        <w:t>A recipient may disclose information required by law, regulation, court order, or government process. Require notice as soon as legally permitted, disclosure limited to what is required, and reasonable cooperation with protective steps at the discloser's expense. Do not require a recipient to violate law, risk sanctions, or guarantee that an order will be challenged.</w:t>
      </w:r>
    </w:p>
    <w:p>
      <w:pPr>
        <w:widowControl/>
      </w:pPr>
      <w:r>
        <w:rPr>
          <w:rFonts w:ascii="Arial" w:hAnsi="Arial"/>
          <w:i w:val="0"/>
          <w:color w:val="242F36"/>
          <w:sz w:val="20"/>
        </w:rPr>
        <w:t>A mutual NDA normally has no indemnity, liquidated damages, or special penalty. Leave ordinary remedies under law available. It is acceptable for each party to acknowledge that a breach may cause harm and that a party may seek equitable relief, as long as the text leaves entitlement and scope to the court and does not waive defenses, bond rules, or other legal requirements. Do not add an arbitrary liability cap or broad exclusion of damages in this stand-alone NDA.</w:t>
      </w:r>
    </w:p>
    <w:p>
      <w:pPr>
        <w:widowControl/>
      </w:pPr>
      <w:r>
        <w:rPr>
          <w:rFonts w:ascii="Arial" w:hAnsi="Arial"/>
          <w:i w:val="0"/>
          <w:color w:val="242F36"/>
          <w:sz w:val="20"/>
        </w:rPr>
        <w:t>Lindenwake prefers Ohio law and state or federal courts in Franklin County. Delaware law and courts are a workable fallback. The Redbarrow draft uses Wisconsin law and Milwaukee courts; the Commercial Legal Director may accept that forum if the rest of the agreement is mutual and the forum clause does not add arbitration, one-sided fee shifting, or a jury waiver. Escalate any added non-solicit, non-compete, exclusivity, standstill, indemnity, assignment to a competitor, or waiver of ordinary independent-development rights.</w:t>
      </w:r>
    </w:p>
    <w:p>
      <w:pPr>
        <w:pStyle w:val="Heading1"/>
        <w:keepNext/>
        <w:pageBreakBefore/>
      </w:pPr>
      <w:r>
        <w:t>Approval path</w:t>
      </w:r>
    </w:p>
    <w:p>
      <w:pPr>
        <w:widowControl/>
      </w:pPr>
      <w:r>
        <w:rPr>
          <w:rFonts w:ascii="Arial" w:hAnsi="Arial"/>
          <w:i w:val="0"/>
          <w:color w:val="242F36"/>
          <w:sz w:val="20"/>
        </w:rPr>
        <w:t>The lawyer handling the NDA may apply the fallbacks above and record the reason in the matter file. Route any exception before agreeing to it. An operational team cannot approve disclosure of data or waive an NDA safeguard.</w:t>
      </w:r>
    </w:p>
    <w:tbl>
      <w:tblPr>
        <w:tblW w:type="auto" w:w="0"/>
        <w:jc w:val="left"/>
        <w:tblLayout w:type="fixed"/>
        <w:tblLook w:firstColumn="1" w:firstRow="1" w:lastColumn="0" w:lastRow="0" w:noHBand="0" w:noVBand="1" w:val="04A0"/>
        <w:tblBorders>
          <w:top w:val="single" w:sz="4" w:space="0" w:color="D4DEE3"/>
          <w:left w:val="single" w:sz="4" w:space="0" w:color="D4DEE3"/>
          <w:bottom w:val="single" w:sz="4" w:space="0" w:color="D4DEE3"/>
          <w:right w:val="single" w:sz="4" w:space="0" w:color="D4DEE3"/>
          <w:insideH w:val="single" w:sz="4" w:space="0" w:color="D4DEE3"/>
          <w:insideV w:val="single" w:sz="4" w:space="0" w:color="D4DEE3"/>
        </w:tblBorders>
      </w:tblPr>
      <w:tblGrid>
        <w:gridCol w:w="3389"/>
        <w:gridCol w:w="3389"/>
        <w:gridCol w:w="3389"/>
      </w:tblGrid>
      <w:tr>
        <w:trPr>
          <w:tblHeader w:val="true"/>
        </w:trPr>
        <w:tc>
          <w:tcPr>
            <w:tcW w:type="dxa" w:w="2232"/>
            <w:shd w:fill="19384D"/>
            <w:tcMar>
              <w:top w:w="85" w:type="dxa"/>
              <w:start w:w="100" w:type="dxa"/>
              <w:bottom w:w="85" w:type="dxa"/>
              <w:end w:w="100" w:type="dxa"/>
            </w:tcMar>
          </w:tcPr>
          <w:p>
            <w:pPr>
              <w:spacing w:after="0"/>
            </w:pPr>
            <w:r>
              <w:rPr>
                <w:rFonts w:ascii="Arial" w:hAnsi="Arial"/>
                <w:b/>
                <w:color w:val="FFFFFF"/>
                <w:sz w:val="16"/>
              </w:rPr>
              <w:t>Issue</w:t>
            </w:r>
          </w:p>
        </w:tc>
        <w:tc>
          <w:tcPr>
            <w:tcW w:type="dxa" w:w="5544"/>
            <w:shd w:fill="19384D"/>
            <w:tcMar>
              <w:top w:w="85" w:type="dxa"/>
              <w:start w:w="100" w:type="dxa"/>
              <w:bottom w:w="85" w:type="dxa"/>
              <w:end w:w="100" w:type="dxa"/>
            </w:tcMar>
          </w:tcPr>
          <w:p>
            <w:pPr>
              <w:spacing w:after="0"/>
            </w:pPr>
            <w:r>
              <w:rPr>
                <w:rFonts w:ascii="Arial" w:hAnsi="Arial"/>
                <w:b/>
                <w:color w:val="FFFFFF"/>
                <w:sz w:val="16"/>
              </w:rPr>
              <w:t>Route to</w:t>
            </w:r>
          </w:p>
        </w:tc>
        <w:tc>
          <w:tcPr>
            <w:tcW w:type="dxa" w:w="2304"/>
            <w:shd w:fill="19384D"/>
            <w:tcMar>
              <w:top w:w="85" w:type="dxa"/>
              <w:start w:w="100" w:type="dxa"/>
              <w:bottom w:w="85" w:type="dxa"/>
              <w:end w:w="100" w:type="dxa"/>
            </w:tcMar>
          </w:tcPr>
          <w:p>
            <w:pPr>
              <w:spacing w:after="0"/>
            </w:pPr>
            <w:r>
              <w:rPr>
                <w:rFonts w:ascii="Arial" w:hAnsi="Arial"/>
                <w:b/>
                <w:color w:val="FFFFFF"/>
                <w:sz w:val="16"/>
              </w:rPr>
              <w:t>Decision needed</w:t>
            </w:r>
          </w:p>
        </w:tc>
      </w:tr>
      <w:tr>
        <w:trPr>
          <w:cantSplit/>
        </w:trPr>
        <w:tc>
          <w:tcPr>
            <w:tcW w:type="dxa" w:w="2232"/>
            <w:tcMar>
              <w:top w:w="80" w:type="dxa"/>
              <w:start w:w="95" w:type="dxa"/>
              <w:bottom w:w="80" w:type="dxa"/>
              <w:end w:w="95" w:type="dxa"/>
            </w:tcMar>
            <w:shd w:fill="F6F8F9"/>
          </w:tcPr>
          <w:p>
            <w:pPr>
              <w:spacing w:after="0" w:line="240" w:lineRule="auto"/>
            </w:pPr>
            <w:r>
              <w:rPr>
                <w:rFonts w:ascii="Arial" w:hAnsi="Arial"/>
                <w:color w:val="242F36"/>
                <w:sz w:val="16"/>
              </w:rPr>
              <w:t>Routine term, marking, or return mechanics</w:t>
            </w:r>
          </w:p>
        </w:tc>
        <w:tc>
          <w:tcPr>
            <w:tcW w:type="dxa" w:w="5544"/>
            <w:tcMar>
              <w:top w:w="80" w:type="dxa"/>
              <w:start w:w="95" w:type="dxa"/>
              <w:bottom w:w="80" w:type="dxa"/>
              <w:end w:w="95" w:type="dxa"/>
            </w:tcMar>
            <w:shd w:fill="F6F8F9"/>
          </w:tcPr>
          <w:p>
            <w:pPr>
              <w:spacing w:after="0" w:line="240" w:lineRule="auto"/>
            </w:pPr>
            <w:r>
              <w:rPr>
                <w:rFonts w:ascii="Arial" w:hAnsi="Arial"/>
                <w:color w:val="242F36"/>
                <w:sz w:val="16"/>
              </w:rPr>
              <w:t>Reviewing Commercial Legal counsel</w:t>
            </w:r>
          </w:p>
        </w:tc>
        <w:tc>
          <w:tcPr>
            <w:tcW w:type="dxa" w:w="2304"/>
            <w:tcMar>
              <w:top w:w="80" w:type="dxa"/>
              <w:start w:w="95" w:type="dxa"/>
              <w:bottom w:w="80" w:type="dxa"/>
              <w:end w:w="95" w:type="dxa"/>
            </w:tcMar>
            <w:shd w:fill="F6F8F9"/>
          </w:tcPr>
          <w:p>
            <w:pPr>
              <w:spacing w:after="0" w:line="240" w:lineRule="auto"/>
            </w:pPr>
            <w:r>
              <w:rPr>
                <w:rFonts w:ascii="Arial" w:hAnsi="Arial"/>
                <w:color w:val="242F36"/>
                <w:sz w:val="16"/>
              </w:rPr>
              <w:t>Within stated fallback</w:t>
            </w:r>
          </w:p>
        </w:tc>
      </w:tr>
      <w:tr>
        <w:trPr>
          <w:cantSplit/>
        </w:trPr>
        <w:tc>
          <w:tcPr>
            <w:tcW w:type="dxa" w:w="2232"/>
            <w:tcMar>
              <w:top w:w="80" w:type="dxa"/>
              <w:start w:w="95" w:type="dxa"/>
              <w:bottom w:w="80" w:type="dxa"/>
              <w:end w:w="95" w:type="dxa"/>
            </w:tcMar>
          </w:tcPr>
          <w:p>
            <w:pPr>
              <w:spacing w:after="0" w:line="240" w:lineRule="auto"/>
            </w:pPr>
            <w:r>
              <w:rPr>
                <w:rFonts w:ascii="Arial" w:hAnsi="Arial"/>
                <w:color w:val="242F36"/>
                <w:sz w:val="16"/>
              </w:rPr>
              <w:t>Purpose, exclusivity, customer commitments, competitor access, residuals, or transfer of IP</w:t>
            </w:r>
          </w:p>
        </w:tc>
        <w:tc>
          <w:tcPr>
            <w:tcW w:type="dxa" w:w="5544"/>
            <w:tcMar>
              <w:top w:w="80" w:type="dxa"/>
              <w:start w:w="95" w:type="dxa"/>
              <w:bottom w:w="80" w:type="dxa"/>
              <w:end w:w="95" w:type="dxa"/>
            </w:tcMar>
          </w:tcPr>
          <w:p>
            <w:pPr>
              <w:spacing w:after="0" w:line="240" w:lineRule="auto"/>
            </w:pPr>
            <w:r>
              <w:rPr>
                <w:rFonts w:ascii="Arial" w:hAnsi="Arial"/>
                <w:color w:val="242F36"/>
                <w:sz w:val="16"/>
              </w:rPr>
              <w:t>Commercial Legal Director; GC for any competitive restriction or IP transfer</w:t>
            </w:r>
          </w:p>
        </w:tc>
        <w:tc>
          <w:tcPr>
            <w:tcW w:type="dxa" w:w="2304"/>
            <w:tcMar>
              <w:top w:w="80" w:type="dxa"/>
              <w:start w:w="95" w:type="dxa"/>
              <w:bottom w:w="80" w:type="dxa"/>
              <w:end w:w="95" w:type="dxa"/>
            </w:tcMar>
          </w:tcPr>
          <w:p>
            <w:pPr>
              <w:spacing w:after="0" w:line="240" w:lineRule="auto"/>
            </w:pPr>
            <w:r>
              <w:rPr>
                <w:rFonts w:ascii="Arial" w:hAnsi="Arial"/>
                <w:color w:val="242F36"/>
                <w:sz w:val="16"/>
              </w:rPr>
              <w:t>Written approval</w:t>
            </w:r>
          </w:p>
        </w:tc>
      </w:tr>
      <w:tr>
        <w:trPr>
          <w:cantSplit/>
        </w:trPr>
        <w:tc>
          <w:tcPr>
            <w:tcW w:type="dxa" w:w="2232"/>
            <w:tcMar>
              <w:top w:w="80" w:type="dxa"/>
              <w:start w:w="95" w:type="dxa"/>
              <w:bottom w:w="80" w:type="dxa"/>
              <w:end w:w="95" w:type="dxa"/>
            </w:tcMar>
            <w:shd w:fill="F6F8F9"/>
          </w:tcPr>
          <w:p>
            <w:pPr>
              <w:spacing w:after="0" w:line="240" w:lineRule="auto"/>
            </w:pPr>
            <w:r>
              <w:rPr>
                <w:rFonts w:ascii="Arial" w:hAnsi="Arial"/>
                <w:color w:val="242F36"/>
                <w:sz w:val="16"/>
              </w:rPr>
              <w:t>Any personal, precise location, driver, customer-identifying, or production data</w:t>
            </w:r>
          </w:p>
        </w:tc>
        <w:tc>
          <w:tcPr>
            <w:tcW w:type="dxa" w:w="5544"/>
            <w:tcMar>
              <w:top w:w="80" w:type="dxa"/>
              <w:start w:w="95" w:type="dxa"/>
              <w:bottom w:w="80" w:type="dxa"/>
              <w:end w:w="95" w:type="dxa"/>
            </w:tcMar>
            <w:shd w:fill="F6F8F9"/>
          </w:tcPr>
          <w:p>
            <w:pPr>
              <w:spacing w:after="0" w:line="240" w:lineRule="auto"/>
            </w:pPr>
            <w:r>
              <w:rPr>
                <w:rFonts w:ascii="Arial" w:hAnsi="Arial"/>
                <w:color w:val="242F36"/>
                <w:sz w:val="16"/>
              </w:rPr>
              <w:t>Privacy and Security leads, Commercial Legal, and business owner</w:t>
            </w:r>
          </w:p>
        </w:tc>
        <w:tc>
          <w:tcPr>
            <w:tcW w:type="dxa" w:w="2304"/>
            <w:tcMar>
              <w:top w:w="80" w:type="dxa"/>
              <w:start w:w="95" w:type="dxa"/>
              <w:bottom w:w="80" w:type="dxa"/>
              <w:end w:w="95" w:type="dxa"/>
            </w:tcMar>
            <w:shd w:fill="F6F8F9"/>
          </w:tcPr>
          <w:p>
            <w:pPr>
              <w:spacing w:after="0" w:line="240" w:lineRule="auto"/>
            </w:pPr>
            <w:r>
              <w:rPr>
                <w:rFonts w:ascii="Arial" w:hAnsi="Arial"/>
                <w:color w:val="242F36"/>
                <w:sz w:val="16"/>
              </w:rPr>
              <w:t>Written data/security terms first</w:t>
            </w:r>
          </w:p>
        </w:tc>
      </w:tr>
      <w:tr>
        <w:trPr>
          <w:cantSplit/>
        </w:trPr>
        <w:tc>
          <w:tcPr>
            <w:tcW w:type="dxa" w:w="2232"/>
            <w:tcMar>
              <w:top w:w="80" w:type="dxa"/>
              <w:start w:w="95" w:type="dxa"/>
              <w:bottom w:w="80" w:type="dxa"/>
              <w:end w:w="95" w:type="dxa"/>
            </w:tcMar>
          </w:tcPr>
          <w:p>
            <w:pPr>
              <w:spacing w:after="0" w:line="240" w:lineRule="auto"/>
            </w:pPr>
            <w:r>
              <w:rPr>
                <w:rFonts w:ascii="Arial" w:hAnsi="Arial"/>
                <w:color w:val="242F36"/>
                <w:sz w:val="16"/>
              </w:rPr>
              <w:t>Wisconsin law and Milwaukee forum, or any arbitration, jury waiver, fee shifting, or non-mutual remedy</w:t>
            </w:r>
          </w:p>
        </w:tc>
        <w:tc>
          <w:tcPr>
            <w:tcW w:type="dxa" w:w="5544"/>
            <w:tcMar>
              <w:top w:w="80" w:type="dxa"/>
              <w:start w:w="95" w:type="dxa"/>
              <w:bottom w:w="80" w:type="dxa"/>
              <w:end w:w="95" w:type="dxa"/>
            </w:tcMar>
          </w:tcPr>
          <w:p>
            <w:pPr>
              <w:spacing w:after="0" w:line="240" w:lineRule="auto"/>
            </w:pPr>
            <w:r>
              <w:rPr>
                <w:rFonts w:ascii="Arial" w:hAnsi="Arial"/>
                <w:color w:val="242F36"/>
                <w:sz w:val="16"/>
              </w:rPr>
              <w:t>Commercial Legal Director; GC if any added dispute restriction</w:t>
            </w:r>
          </w:p>
        </w:tc>
        <w:tc>
          <w:tcPr>
            <w:tcW w:type="dxa" w:w="2304"/>
            <w:tcMar>
              <w:top w:w="80" w:type="dxa"/>
              <w:start w:w="95" w:type="dxa"/>
              <w:bottom w:w="80" w:type="dxa"/>
              <w:end w:w="95" w:type="dxa"/>
            </w:tcMar>
          </w:tcPr>
          <w:p>
            <w:pPr>
              <w:spacing w:after="0" w:line="240" w:lineRule="auto"/>
            </w:pPr>
            <w:r>
              <w:rPr>
                <w:rFonts w:ascii="Arial" w:hAnsi="Arial"/>
                <w:color w:val="242F36"/>
                <w:sz w:val="16"/>
              </w:rPr>
              <w:t>Before acceptance</w:t>
            </w:r>
          </w:p>
        </w:tc>
      </w:tr>
      <w:tr>
        <w:trPr>
          <w:cantSplit/>
        </w:trPr>
        <w:tc>
          <w:tcPr>
            <w:tcW w:type="dxa" w:w="2232"/>
            <w:tcMar>
              <w:top w:w="80" w:type="dxa"/>
              <w:start w:w="95" w:type="dxa"/>
              <w:bottom w:w="80" w:type="dxa"/>
              <w:end w:w="95" w:type="dxa"/>
            </w:tcMar>
            <w:shd w:fill="F6F8F9"/>
          </w:tcPr>
          <w:p>
            <w:pPr>
              <w:spacing w:after="0" w:line="240" w:lineRule="auto"/>
            </w:pPr>
            <w:r>
              <w:rPr>
                <w:rFonts w:ascii="Arial" w:hAnsi="Arial"/>
                <w:color w:val="242F36"/>
                <w:sz w:val="16"/>
              </w:rPr>
              <w:t>New pilot, service, pricing, distribution, or customer access terms</w:t>
            </w:r>
          </w:p>
        </w:tc>
        <w:tc>
          <w:tcPr>
            <w:tcW w:type="dxa" w:w="5544"/>
            <w:tcMar>
              <w:top w:w="80" w:type="dxa"/>
              <w:start w:w="95" w:type="dxa"/>
              <w:bottom w:w="80" w:type="dxa"/>
              <w:end w:w="95" w:type="dxa"/>
            </w:tcMar>
            <w:shd w:fill="F6F8F9"/>
          </w:tcPr>
          <w:p>
            <w:pPr>
              <w:spacing w:after="0" w:line="240" w:lineRule="auto"/>
            </w:pPr>
            <w:r>
              <w:rPr>
                <w:rFonts w:ascii="Arial" w:hAnsi="Arial"/>
                <w:color w:val="242F36"/>
                <w:sz w:val="16"/>
              </w:rPr>
              <w:t>Business sponsor and Commercial Legal</w:t>
            </w:r>
          </w:p>
        </w:tc>
        <w:tc>
          <w:tcPr>
            <w:tcW w:type="dxa" w:w="2304"/>
            <w:tcMar>
              <w:top w:w="80" w:type="dxa"/>
              <w:start w:w="95" w:type="dxa"/>
              <w:bottom w:w="80" w:type="dxa"/>
              <w:end w:w="95" w:type="dxa"/>
            </w:tcMar>
            <w:shd w:fill="F6F8F9"/>
          </w:tcPr>
          <w:p>
            <w:pPr>
              <w:spacing w:after="0" w:line="240" w:lineRule="auto"/>
            </w:pPr>
            <w:r>
              <w:rPr>
                <w:rFonts w:ascii="Arial" w:hAnsi="Arial"/>
                <w:color w:val="242F36"/>
                <w:sz w:val="16"/>
              </w:rPr>
              <w:t>Separate signed agreement</w:t>
            </w:r>
          </w:p>
        </w:tc>
      </w:tr>
    </w:tbl>
    <w:p>
      <w:pPr>
        <w:spacing w:before="120" w:after="0"/>
      </w:pPr>
      <w:r>
        <w:rPr>
          <w:rFonts w:ascii="Arial" w:hAnsi="Arial"/>
          <w:b/>
          <w:color w:val="60717B"/>
          <w:sz w:val="16"/>
        </w:rPr>
        <w:t xml:space="preserve">Matter owner: VP, Business Development. Legal owner: Commercial Legal Director. </w:t>
      </w:r>
      <w:r>
        <w:rPr>
          <w:rFonts w:ascii="Arial" w:hAnsi="Arial"/>
          <w:color w:val="60717B"/>
          <w:sz w:val="16"/>
        </w:rPr>
        <w:t>Log the signed copy, approved deviations, and end-of-evaluation return/deletion request in the contract record.</w:t>
      </w:r>
    </w:p>
    <w:sectPr w:rsidR="00FC693F" w:rsidRPr="0006063C" w:rsidSect="00034616">
      <w:headerReference w:type="default" r:id="rId9"/>
      <w:footerReference w:type="default" r:id="rId10"/>
      <w:pgSz w:w="12240" w:h="15840"/>
      <w:pgMar w:top="1051" w:right="1037" w:bottom="1037"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color w:val="60717B"/>
        <w:sz w:val="16"/>
      </w:rPr>
      <w:t>Internal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b/>
        <w:color w:val="60717B"/>
        <w:sz w:val="16"/>
      </w:rPr>
      <w:t>LINDENWAKE ROUTE SYSTEMS  |  COMMERCIAL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90" w:line="259" w:lineRule="auto"/>
    </w:pPr>
    <w:rPr>
      <w:rFonts w:ascii="Arial" w:hAnsi="Arial"/>
      <w:color w:val="242F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90"/>
      <w:outlineLvl w:val="0"/>
    </w:pPr>
    <w:rPr>
      <w:rFonts w:asciiTheme="majorHAnsi" w:eastAsiaTheme="majorEastAsia" w:hAnsiTheme="majorHAnsi" w:cstheme="majorBidi" w:ascii="Arial" w:hAnsi="Arial"/>
      <w:b/>
      <w:bCs/>
      <w:color w:val="19384D"/>
      <w:sz w:val="30"/>
      <w:szCs w:val="28"/>
    </w:rPr>
  </w:style>
  <w:style w:type="paragraph" w:styleId="Heading2">
    <w:name w:val="heading 2"/>
    <w:basedOn w:val="Normal"/>
    <w:next w:val="Normal"/>
    <w:link w:val="Heading2Char"/>
    <w:uiPriority w:val="9"/>
    <w:unhideWhenUsed/>
    <w:qFormat/>
    <w:rsid w:val="00FC693F"/>
    <w:pPr>
      <w:keepNext/>
      <w:keepLines/>
      <w:spacing w:before="140" w:after="50"/>
      <w:outlineLvl w:val="1"/>
    </w:pPr>
    <w:rPr>
      <w:rFonts w:asciiTheme="majorHAnsi" w:eastAsiaTheme="majorEastAsia" w:hAnsiTheme="majorHAnsi" w:cstheme="majorBidi" w:ascii="Arial" w:hAnsi="Arial"/>
      <w:b/>
      <w:bCs/>
      <w:color w:val="2C777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NDA Negotiation Guide</dc:title>
  <dc:subject>Commercial Legal guidance for integration and channel evaluations</dc:subject>
  <dc:creator>Lindenwake Route Systems, Inc. - Commercial Legal</dc:creator>
  <cp:keywords>NDA; negotiation; commercial legal; integration</cp:keywords>
  <dc:description>generated by python-docx</dc:description>
  <cp:lastModifiedBy/>
  <cp:revision>1</cp:revision>
  <dcterms:created xsi:type="dcterms:W3CDTF">2013-12-23T23:15:00Z</dcterms:created>
  <dcterms:modified xsi:type="dcterms:W3CDTF">2013-12-23T23:15:00Z</dcterms:modified>
  <cp:category/>
</cp:coreProperties>
</file>