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Consulting Agreement (Executed 2026-03-20)</w:t>
      </w:r>
    </w:p>
    <w:p>
      <w:r>
        <w:t xml:space="preserve">Between Helios Systems Inc. and Orion Partners LLP, governed by the laws of the State of Delaware.</w:t>
      </w:r>
    </w:p>
    <w:p>
      <w:pPr>
        <w:pStyle w:val="Heading1"/>
      </w:pPr>
      <w:r>
        <w:t xml:space="preserve">Limitation of Liability</w:t>
      </w:r>
    </w:p>
    <w:p>
      <w:r>
        <w:t xml:space="preserve">The liability of Supplier under this Agreement is uncapped and unlimited, however arising.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Delaware.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