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Services Agreement (Executed 2025-11-02)</w:t>
      </w:r>
    </w:p>
    <w:p>
      <w:r>
        <w:t xml:space="preserve">Between Helios Systems Inc. and Northwind Data Corp., governed by the laws of the State of New York.</w:t>
      </w:r>
    </w:p>
    <w:p>
      <w:pPr>
        <w:pStyle w:val="Heading1"/>
      </w:pPr>
      <w:r>
        <w:t xml:space="preserve">Limitation of Liability</w:t>
      </w:r>
    </w:p>
    <w:p>
      <w:r>
        <w:t xml:space="preserve">The total liability of Supplier shall not exceed the fees paid during the preceding 12 months, as measured at the time of the claim.</w:t>
      </w:r>
    </w:p>
    <w:p>
      <w:pPr>
        <w:pStyle w:val="Heading1"/>
      </w:pPr>
      <w:r>
        <w:t xml:space="preserve">Indemnification</w:t>
      </w:r>
    </w:p>
    <w:p>
      <w:r>
        <w:t xml:space="preserve">Supplier shall defend Customer against third-party intellectual property claims.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