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Approved Clause Library</w:t>
      </w:r>
    </w:p>
    <w:p>
      <w:pPr>
        <w:pStyle w:val="Heading1"/>
      </w:pPr>
      <w:r>
        <w:t xml:space="preserve">Limitation of Liability — Preferred</w:t>
      </w:r>
    </w:p>
    <w:p>
      <w:r>
        <w:t xml:space="preserve">The total liability of Supplier shall not exceed the fees paid in the preceding 12 months.</w:t>
      </w:r>
    </w:p>
    <w:p>
      <w:pPr>
        <w:pStyle w:val="Heading1"/>
      </w:pPr>
      <w:r>
        <w:t xml:space="preserve">Limitation of Liability — Fallback</w:t>
      </w:r>
    </w:p>
    <w:p>
      <w:r>
        <w:t xml:space="preserve">The total liability of Supplier shall not exceed two times the fees paid in the preceding 12 months.</w:t>
      </w:r>
    </w:p>
    <w:p>
      <w:pPr>
        <w:pStyle w:val="Heading1"/>
      </w:pPr>
      <w:r>
        <w:t xml:space="preserve">Confidentiality — Preferred</w:t>
      </w:r>
    </w:p>
    <w:p>
      <w:r>
        <w:t xml:space="preserve">Each Party shall protect confidential information of the other Party with reasonable care.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