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MSA Negotiation Playbook</w:t>
      </w:r>
    </w:p>
    <w:p>
      <w:pPr>
        <w:pStyle w:val="Heading1"/>
      </w:pPr>
      <w:r>
        <w:t xml:space="preserve">Limitation of Liability</w:t>
      </w:r>
    </w:p>
    <w:p>
      <w:r>
        <w:t xml:space="preserve">Preferred: The total liability of Supplier shall not exceed the fees paid in the preceding 12 months.</w:t>
      </w:r>
    </w:p>
    <w:p>
      <w:r>
        <w:t xml:space="preserve">Prohibited: uncapped liability is not acceptable in any MSA.</w:t>
      </w:r>
    </w:p>
    <w:p>
      <w:r>
        <w:t xml:space="preserve">Escalate to general counsel before agreeing to any cap above the preferred position.</w:t>
      </w:r>
    </w:p>
    <w:p>
      <w:pPr>
        <w:pStyle w:val="Heading1"/>
      </w:pPr>
      <w:r>
        <w:t xml:space="preserve">Confidentiality</w:t>
      </w:r>
    </w:p>
    <w:p>
      <w:r>
        <w:t xml:space="preserve">Confidentiality obligations must survive termination of the agreement.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