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Subscription Agreement (Executed 2026-01-15)</w:t>
      </w:r>
    </w:p>
    <w:p>
      <w:r>
        <w:t xml:space="preserve">Between Helios Systems Inc. and Cobalt Retail Group, governed by the laws of England and Wales.</w:t>
      </w:r>
    </w:p>
    <w:p>
      <w:pPr>
        <w:pStyle w:val="Heading1"/>
      </w:pPr>
      <w:r>
        <w:t xml:space="preserve">Liability</w:t>
      </w:r>
    </w:p>
    <w:p>
      <w:r>
        <w:t xml:space="preserve">Supplier's overall exposure for damages is capped at one year of the amounts invoiced to Customer.</w:t>
      </w:r>
    </w:p>
    <w:p>
      <w:pPr>
        <w:pStyle w:val="Heading1"/>
      </w:pPr>
      <w:r>
        <w:t xml:space="preserve">Confidentiality</w:t>
      </w:r>
    </w:p>
    <w:p>
      <w:r>
        <w:t xml:space="preserve">Confidential information must be safeguarded at all times.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