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(Executed 2026-02-10)</w:t>
      </w:r>
    </w:p>
    <w:p>
      <w:r>
        <w:t xml:space="preserve">Between Helios Systems Inc. and Vertex Analytics Ltd., governed by the laws of the State of Delaware.</w:t>
      </w:r>
    </w:p>
    <w:p>
      <w:pPr>
        <w:pStyle w:val="Heading1"/>
      </w:pPr>
      <w:r>
        <w:t xml:space="preserve">Limitation of Liability</w:t>
      </w:r>
    </w:p>
    <w:p>
      <w:r>
        <w:t xml:space="preserve">The total liability of Supplier shall not exceed the fees paid in the preceding 12 months.</w:t>
      </w:r>
    </w:p>
    <w:p>
      <w:pPr>
        <w:pStyle w:val="Heading1"/>
      </w:pPr>
      <w:r>
        <w:t xml:space="preserve">Confidentiality</w:t>
      </w:r>
    </w:p>
    <w:p>
      <w:r>
        <w:t xml:space="preserve">Each Party shall protect confidential information with reasonable care.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