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76" w:lineRule="auto"/>
      </w:pPr>
      <w:r>
        <w:rPr>
          <w:rFonts w:ascii="Times New Roman" w:hAnsi="Times New Roman" w:cs="Times New Roman"/>
          <w:b/>
          <w:i w:val="0"/>
          <w:caps/>
          <w:sz w:val="32"/>
          <w:u w:val="none"/>
        </w:rPr>
        <w:t>Northwind Metrics, Inc. – Contract Negotiation Playbook</w:t>
      </w:r>
    </w:p>
    <w:p>
      <w:pPr>
        <w:spacing w:before="0" w:after="200" w:line="276" w:lineRule="auto"/>
      </w:pPr>
      <w:r>
        <w:rPr>
          <w:rFonts w:ascii="Times New Roman" w:hAnsi="Times New Roman" w:cs="Times New Roman"/>
          <w:b w:val="0"/>
          <w:i/>
          <w:sz w:val="20"/>
          <w:u w:val="none"/>
        </w:rPr>
        <w:t>Commercial terms for agreements in which Northwind is the supplier</w:t>
      </w:r>
    </w:p>
    <w:tbl>
      <w:tblPr>
        <w:tblStyle w:val="TableGrid"/>
        <w:tblW w:type="auto" w:w="0"/>
        <w:tblLook w:firstColumn="1" w:firstRow="1" w:lastColumn="0" w:lastRow="0" w:noHBand="0" w:noVBand="1" w:val="04A0"/>
      </w:tblPr>
      <w:tblGrid>
        <w:gridCol w:w="4680"/>
        <w:gridCol w:w="4680"/>
      </w:tblGrid>
      <w:tr>
        <w:tc>
          <w:tcPr>
            <w:tcW w:type="dxa" w:w="2304"/>
          </w:tcPr>
          <w:p>
            <w:r/>
            <w:r>
              <w:rPr>
                <w:rFonts w:ascii="Times New Roman" w:hAnsi="Times New Roman" w:cs="Times New Roman"/>
                <w:b/>
                <w:i w:val="0"/>
                <w:sz w:val="20"/>
                <w:u w:val="none"/>
              </w:rPr>
              <w:t>Document owner</w:t>
            </w:r>
          </w:p>
        </w:tc>
        <w:tc>
          <w:tcPr>
            <w:tcW w:type="dxa" w:w="7056"/>
          </w:tcPr>
          <w:p>
            <w:r/>
            <w:r>
              <w:rPr>
                <w:rFonts w:ascii="Times New Roman" w:hAnsi="Times New Roman" w:cs="Times New Roman"/>
                <w:b w:val="0"/>
                <w:i w:val="0"/>
                <w:sz w:val="20"/>
                <w:u w:val="none"/>
              </w:rPr>
              <w:t>Associate General Counsel, Commercial</w:t>
            </w:r>
          </w:p>
        </w:tc>
      </w:tr>
      <w:tr>
        <w:tc>
          <w:tcPr>
            <w:tcW w:type="dxa" w:w="2304"/>
          </w:tcPr>
          <w:p>
            <w:r/>
            <w:r>
              <w:rPr>
                <w:rFonts w:ascii="Times New Roman" w:hAnsi="Times New Roman" w:cs="Times New Roman"/>
                <w:b/>
                <w:i w:val="0"/>
                <w:sz w:val="20"/>
                <w:u w:val="none"/>
              </w:rPr>
              <w:t>Contributing owner</w:t>
            </w:r>
          </w:p>
        </w:tc>
        <w:tc>
          <w:tcPr>
            <w:tcW w:type="dxa" w:w="7056"/>
          </w:tcPr>
          <w:p>
            <w:r/>
            <w:r>
              <w:rPr>
                <w:rFonts w:ascii="Times New Roman" w:hAnsi="Times New Roman" w:cs="Times New Roman"/>
                <w:b w:val="0"/>
                <w:i w:val="0"/>
                <w:sz w:val="20"/>
                <w:u w:val="none"/>
              </w:rPr>
              <w:t>Director of Sales Operations (deal desk)</w:t>
            </w:r>
          </w:p>
        </w:tc>
      </w:tr>
      <w:tr>
        <w:tc>
          <w:tcPr>
            <w:tcW w:type="dxa" w:w="2304"/>
          </w:tcPr>
          <w:p>
            <w:r/>
            <w:r>
              <w:rPr>
                <w:rFonts w:ascii="Times New Roman" w:hAnsi="Times New Roman" w:cs="Times New Roman"/>
                <w:b/>
                <w:i w:val="0"/>
                <w:sz w:val="20"/>
                <w:u w:val="none"/>
              </w:rPr>
              <w:t>Approved by</w:t>
            </w:r>
          </w:p>
        </w:tc>
        <w:tc>
          <w:tcPr>
            <w:tcW w:type="dxa" w:w="7056"/>
          </w:tcPr>
          <w:p>
            <w:r/>
            <w:r>
              <w:rPr>
                <w:rFonts w:ascii="Times New Roman" w:hAnsi="Times New Roman" w:cs="Times New Roman"/>
                <w:b w:val="0"/>
                <w:i w:val="0"/>
                <w:sz w:val="20"/>
                <w:u w:val="none"/>
              </w:rPr>
              <w:t>General Counsel; Chief Financial Officer (commercial terms)</w:t>
            </w:r>
          </w:p>
        </w:tc>
      </w:tr>
      <w:tr>
        <w:tc>
          <w:tcPr>
            <w:tcW w:type="dxa" w:w="2304"/>
          </w:tcPr>
          <w:p>
            <w:r/>
            <w:r>
              <w:rPr>
                <w:rFonts w:ascii="Times New Roman" w:hAnsi="Times New Roman" w:cs="Times New Roman"/>
                <w:b/>
                <w:i w:val="0"/>
                <w:sz w:val="20"/>
                <w:u w:val="none"/>
              </w:rPr>
              <w:t>Version</w:t>
            </w:r>
          </w:p>
        </w:tc>
        <w:tc>
          <w:tcPr>
            <w:tcW w:type="dxa" w:w="7056"/>
          </w:tcPr>
          <w:p>
            <w:r/>
            <w:r>
              <w:rPr>
                <w:rFonts w:ascii="Times New Roman" w:hAnsi="Times New Roman" w:cs="Times New Roman"/>
                <w:b w:val="0"/>
                <w:i w:val="0"/>
                <w:sz w:val="20"/>
                <w:u w:val="none"/>
              </w:rPr>
              <w:t>6.2</w:t>
            </w:r>
          </w:p>
        </w:tc>
      </w:tr>
      <w:tr>
        <w:tc>
          <w:tcPr>
            <w:tcW w:type="dxa" w:w="2304"/>
          </w:tcPr>
          <w:p>
            <w:r/>
            <w:r>
              <w:rPr>
                <w:rFonts w:ascii="Times New Roman" w:hAnsi="Times New Roman" w:cs="Times New Roman"/>
                <w:b/>
                <w:i w:val="0"/>
                <w:sz w:val="20"/>
                <w:u w:val="none"/>
              </w:rPr>
              <w:t>Status</w:t>
            </w:r>
          </w:p>
        </w:tc>
        <w:tc>
          <w:tcPr>
            <w:tcW w:type="dxa" w:w="7056"/>
          </w:tcPr>
          <w:p>
            <w:r/>
            <w:r>
              <w:rPr>
                <w:rFonts w:ascii="Times New Roman" w:hAnsi="Times New Roman" w:cs="Times New Roman"/>
                <w:b w:val="0"/>
                <w:i w:val="0"/>
                <w:sz w:val="20"/>
                <w:u w:val="none"/>
              </w:rPr>
              <w:t>Current – supersedes v6.1</w:t>
            </w:r>
          </w:p>
        </w:tc>
      </w:tr>
      <w:tr>
        <w:tc>
          <w:tcPr>
            <w:tcW w:type="dxa" w:w="2304"/>
          </w:tcPr>
          <w:p>
            <w:r/>
            <w:r>
              <w:rPr>
                <w:rFonts w:ascii="Times New Roman" w:hAnsi="Times New Roman" w:cs="Times New Roman"/>
                <w:b/>
                <w:i w:val="0"/>
                <w:sz w:val="20"/>
                <w:u w:val="none"/>
              </w:rPr>
              <w:t>Effective date</w:t>
            </w:r>
          </w:p>
        </w:tc>
        <w:tc>
          <w:tcPr>
            <w:tcW w:type="dxa" w:w="7056"/>
          </w:tcPr>
          <w:p>
            <w:r/>
            <w:r>
              <w:rPr>
                <w:rFonts w:ascii="Times New Roman" w:hAnsi="Times New Roman" w:cs="Times New Roman"/>
                <w:b w:val="0"/>
                <w:i w:val="0"/>
                <w:sz w:val="20"/>
                <w:u w:val="none"/>
              </w:rPr>
              <w:t>1 August 2026</w:t>
            </w:r>
          </w:p>
        </w:tc>
      </w:tr>
      <w:tr>
        <w:tc>
          <w:tcPr>
            <w:tcW w:type="dxa" w:w="2304"/>
          </w:tcPr>
          <w:p>
            <w:r/>
            <w:r>
              <w:rPr>
                <w:rFonts w:ascii="Times New Roman" w:hAnsi="Times New Roman" w:cs="Times New Roman"/>
                <w:b/>
                <w:i w:val="0"/>
                <w:sz w:val="20"/>
                <w:u w:val="none"/>
              </w:rPr>
              <w:t>Next scheduled review</w:t>
            </w:r>
          </w:p>
        </w:tc>
        <w:tc>
          <w:tcPr>
            <w:tcW w:type="dxa" w:w="7056"/>
          </w:tcPr>
          <w:p>
            <w:r/>
            <w:r>
              <w:rPr>
                <w:rFonts w:ascii="Times New Roman" w:hAnsi="Times New Roman" w:cs="Times New Roman"/>
                <w:b w:val="0"/>
                <w:i w:val="0"/>
                <w:sz w:val="20"/>
                <w:u w:val="none"/>
              </w:rPr>
              <w:t>1 February 2027</w:t>
            </w:r>
          </w:p>
        </w:tc>
      </w:tr>
      <w:tr>
        <w:tc>
          <w:tcPr>
            <w:tcW w:type="dxa" w:w="2304"/>
          </w:tcPr>
          <w:p>
            <w:r/>
            <w:r>
              <w:rPr>
                <w:rFonts w:ascii="Times New Roman" w:hAnsi="Times New Roman" w:cs="Times New Roman"/>
                <w:b/>
                <w:i w:val="0"/>
                <w:sz w:val="20"/>
                <w:u w:val="none"/>
              </w:rPr>
              <w:t>Applies to</w:t>
            </w:r>
          </w:p>
        </w:tc>
        <w:tc>
          <w:tcPr>
            <w:tcW w:type="dxa" w:w="7056"/>
          </w:tcPr>
          <w:p>
            <w:r/>
            <w:r>
              <w:rPr>
                <w:rFonts w:ascii="Times New Roman" w:hAnsi="Times New Roman" w:cs="Times New Roman"/>
                <w:b w:val="0"/>
                <w:i w:val="0"/>
                <w:sz w:val="20"/>
                <w:u w:val="none"/>
              </w:rPr>
              <w:t>Master Services Agreements, SaaS subscriptions, order forms, statements of work, mutual and one-way non-disclosure agreements, and data processing agreements in which Northwind acts as processor or sub-processor</w:t>
            </w:r>
          </w:p>
        </w:tc>
      </w:tr>
      <w:tr>
        <w:tc>
          <w:tcPr>
            <w:tcW w:type="dxa" w:w="2304"/>
          </w:tcPr>
          <w:p>
            <w:r/>
            <w:r>
              <w:rPr>
                <w:rFonts w:ascii="Times New Roman" w:hAnsi="Times New Roman" w:cs="Times New Roman"/>
                <w:b/>
                <w:i w:val="0"/>
                <w:sz w:val="20"/>
                <w:u w:val="none"/>
              </w:rPr>
              <w:t>Classification</w:t>
            </w:r>
          </w:p>
        </w:tc>
        <w:tc>
          <w:tcPr>
            <w:tcW w:type="dxa" w:w="7056"/>
          </w:tcPr>
          <w:p>
            <w:r/>
            <w:r>
              <w:rPr>
                <w:rFonts w:ascii="Times New Roman" w:hAnsi="Times New Roman" w:cs="Times New Roman"/>
                <w:b w:val="0"/>
                <w:i w:val="0"/>
                <w:sz w:val="20"/>
                <w:u w:val="none"/>
              </w:rPr>
              <w:t>Internal – Confidential. Not to be shared with counterparties.</w:t>
            </w:r>
          </w:p>
        </w:tc>
      </w:tr>
    </w:tbl>
    <w:p>
      <w:pPr/>
    </w:p>
    <w:p>
      <w:pPr>
        <w:spacing w:before="200" w:after="80" w:line="276" w:lineRule="auto"/>
      </w:pPr>
      <w:r>
        <w:rPr>
          <w:rFonts w:ascii="Times New Roman" w:hAnsi="Times New Roman" w:cs="Times New Roman"/>
          <w:b/>
          <w:i w:val="0"/>
          <w:caps/>
          <w:sz w:val="24"/>
          <w:u w:val="none"/>
        </w:rPr>
        <w:t>1. Purpose and scope</w:t>
      </w:r>
    </w:p>
    <w:p>
      <w:pPr>
        <w:spacing w:before="0" w:after="120" w:line="276" w:lineRule="auto"/>
      </w:pPr>
      <w:r>
        <w:rPr>
          <w:rFonts w:ascii="Times New Roman" w:hAnsi="Times New Roman" w:cs="Times New Roman"/>
          <w:b w:val="0"/>
          <w:i w:val="0"/>
          <w:u w:val="none"/>
        </w:rPr>
        <w:t>This playbook records the contractual positions Northwind Metrics, Inc. applies when it contracts as the supplier of software or related services. It exists so that the account team, the deal desk and the legal team negotiate from the same starting point, and so that a position is either within the playbook or is escalated. It is not a summary of Northwind's risk appetite; it is the working expression of it.</w:t>
      </w:r>
    </w:p>
    <w:p>
      <w:pPr>
        <w:spacing w:before="0" w:after="120" w:line="276" w:lineRule="auto"/>
      </w:pPr>
      <w:r>
        <w:rPr>
          <w:rFonts w:ascii="Times New Roman" w:hAnsi="Times New Roman" w:cs="Times New Roman"/>
          <w:b w:val="0"/>
          <w:i w:val="0"/>
          <w:u w:val="none"/>
        </w:rPr>
        <w:t>The playbook covers Northwind's standard commercial terms and its standard data protection and confidentiality terms. It does not cover employment matters, procurement of hardware, or anything where Northwind is acting as a customer. Where Northwind buys rather than sells, the procurement playbook applies and is maintained separately by the Procurement and Legal Operations team.</w:t>
      </w:r>
    </w:p>
    <w:p>
      <w:pPr>
        <w:spacing w:before="0" w:after="120" w:line="276" w:lineRule="auto"/>
      </w:pPr>
      <w:r>
        <w:rPr>
          <w:rFonts w:ascii="Times New Roman" w:hAnsi="Times New Roman" w:cs="Times New Roman"/>
          <w:b w:val="0"/>
          <w:i w:val="0"/>
          <w:u w:val="none"/>
        </w:rPr>
        <w:t>Positions are expressed as a standard position, up to two fallbacks and, where there is one, a walk-away. Fallback 1 may be adopted by the account team and recorded on the deal record; fallback 2 needs deal desk sign-off; a walk-away is not available for adoption by anyone below General Counsel and may only be moved with the approval shown in section 4.</w:t>
      </w:r>
    </w:p>
    <w:p>
      <w:pPr>
        <w:spacing w:before="200" w:after="80" w:line="276" w:lineRule="auto"/>
      </w:pPr>
      <w:r>
        <w:rPr>
          <w:rFonts w:ascii="Times New Roman" w:hAnsi="Times New Roman" w:cs="Times New Roman"/>
          <w:b/>
          <w:i w:val="0"/>
          <w:caps/>
          <w:sz w:val="24"/>
          <w:u w:val="none"/>
        </w:rPr>
        <w:t>2. How to use this guide</w:t>
      </w:r>
    </w:p>
    <w:p>
      <w:pPr>
        <w:spacing w:before="0" w:after="120" w:line="276" w:lineRule="auto"/>
        <w:ind w:left="360"/>
      </w:pPr>
      <w:r>
        <w:rPr>
          <w:rFonts w:ascii="Times New Roman" w:hAnsi="Times New Roman" w:cs="Times New Roman"/>
          <w:b w:val="0"/>
          <w:i w:val="0"/>
          <w:u w:val="none"/>
        </w:rPr>
        <w:t>•  Work from the standard position first. Only move to a fallback if the customer asks, and record which fallback was used on the deal record.</w:t>
      </w:r>
    </w:p>
    <w:p>
      <w:pPr>
        <w:spacing w:before="0" w:after="120" w:line="276" w:lineRule="auto"/>
        <w:ind w:left="360"/>
      </w:pPr>
      <w:r>
        <w:rPr>
          <w:rFonts w:ascii="Times New Roman" w:hAnsi="Times New Roman" w:cs="Times New Roman"/>
          <w:b w:val="0"/>
          <w:i w:val="0"/>
          <w:u w:val="none"/>
        </w:rPr>
        <w:t>•  The walk-away column is not a negotiating range. If the customer will not move on a walk-away line, stop and escalate rather than trading it away in the same turn.</w:t>
      </w:r>
    </w:p>
    <w:p>
      <w:pPr>
        <w:spacing w:before="0" w:after="120" w:line="276" w:lineRule="auto"/>
        <w:ind w:left="360"/>
      </w:pPr>
      <w:r>
        <w:rPr>
          <w:rFonts w:ascii="Times New Roman" w:hAnsi="Times New Roman" w:cs="Times New Roman"/>
          <w:b w:val="0"/>
          <w:i w:val="0"/>
          <w:u w:val="none"/>
        </w:rPr>
        <w:t>•  Redlines to our own paper should use the wording in the approved clause library rather than fresh drafting.</w:t>
      </w:r>
    </w:p>
    <w:p>
      <w:pPr>
        <w:spacing w:before="0" w:after="120" w:line="276" w:lineRule="auto"/>
        <w:ind w:left="360"/>
      </w:pPr>
      <w:r>
        <w:rPr>
          <w:rFonts w:ascii="Times New Roman" w:hAnsi="Times New Roman" w:cs="Times New Roman"/>
          <w:b w:val="0"/>
          <w:i w:val="0"/>
          <w:u w:val="none"/>
        </w:rPr>
        <w:t>•  Where a customer paper omits a topic entirely, treat that as a gap we must raise, even when the omission is favourable to Northwind. It usually sits badly with a downstream enterprise customer and it leaves us unable to point to a position when the customer asks.</w:t>
      </w:r>
    </w:p>
    <w:p>
      <w:pPr>
        <w:spacing w:before="0" w:after="120" w:line="276" w:lineRule="auto"/>
        <w:ind w:left="360"/>
      </w:pPr>
      <w:r>
        <w:rPr>
          <w:rFonts w:ascii="Times New Roman" w:hAnsi="Times New Roman" w:cs="Times New Roman"/>
          <w:b w:val="0"/>
          <w:i w:val="0"/>
          <w:u w:val="none"/>
        </w:rPr>
        <w:t>•  Anything outside these positions needs sign-off at the level shown in section 4 before the redline goes back.</w:t>
      </w:r>
    </w:p>
    <w:p>
      <w:pPr>
        <w:spacing w:before="0" w:after="120" w:line="276" w:lineRule="auto"/>
        <w:ind w:left="360"/>
      </w:pPr>
      <w:r>
        <w:rPr>
          <w:rFonts w:ascii="Times New Roman" w:hAnsi="Times New Roman" w:cs="Times New Roman"/>
          <w:b w:val="0"/>
          <w:i w:val="0"/>
          <w:u w:val="none"/>
        </w:rPr>
        <w:t>•  If a single draft raises two or more walk-away items, escalate the whole draft rather than fixing them piecemeal.</w:t>
      </w:r>
    </w:p>
    <w:p>
      <w:pPr>
        <w:spacing w:before="200" w:after="80" w:line="276" w:lineRule="auto"/>
      </w:pPr>
      <w:r>
        <w:rPr>
          <w:rFonts w:ascii="Times New Roman" w:hAnsi="Times New Roman" w:cs="Times New Roman"/>
          <w:b/>
          <w:i w:val="0"/>
          <w:caps/>
          <w:sz w:val="24"/>
          <w:u w:val="none"/>
        </w:rPr>
        <w:t>3. Definitions used in this guide</w:t>
      </w:r>
    </w:p>
    <w:tbl>
      <w:tblPr>
        <w:tblStyle w:val="TableGrid"/>
        <w:tblW w:type="auto" w:w="0"/>
        <w:tblLook w:firstColumn="1" w:firstRow="1" w:lastColumn="0" w:lastRow="0" w:noHBand="0" w:noVBand="1" w:val="04A0"/>
      </w:tblPr>
      <w:tblGrid>
        <w:gridCol w:w="3120"/>
        <w:gridCol w:w="3120"/>
        <w:gridCol w:w="3120"/>
      </w:tblGrid>
      <w:tr>
        <w:tc>
          <w:tcPr>
            <w:tcW w:type="dxa" w:w="2448"/>
          </w:tcPr>
          <w:p>
            <w:r/>
            <w:r>
              <w:rPr>
                <w:rFonts w:ascii="Times New Roman" w:hAnsi="Times New Roman" w:cs="Times New Roman"/>
                <w:b/>
                <w:i w:val="0"/>
                <w:sz w:val="18"/>
                <w:u w:val="none"/>
              </w:rPr>
              <w:t>Term</w:t>
            </w:r>
          </w:p>
        </w:tc>
        <w:tc>
          <w:tcPr>
            <w:tcW w:type="dxa" w:w="3744"/>
          </w:tcPr>
          <w:p>
            <w:r/>
            <w:r>
              <w:rPr>
                <w:rFonts w:ascii="Times New Roman" w:hAnsi="Times New Roman" w:cs="Times New Roman"/>
                <w:b/>
                <w:i w:val="0"/>
                <w:sz w:val="18"/>
                <w:u w:val="none"/>
              </w:rPr>
              <w:t>Meaning</w:t>
            </w:r>
          </w:p>
        </w:tc>
        <w:tc>
          <w:tcPr>
            <w:tcW w:type="dxa" w:w="3744"/>
          </w:tcPr>
          <w:p>
            <w:r/>
            <w:r>
              <w:rPr>
                <w:rFonts w:ascii="Times New Roman" w:hAnsi="Times New Roman" w:cs="Times New Roman"/>
                <w:b/>
                <w:i w:val="0"/>
                <w:sz w:val="18"/>
                <w:u w:val="none"/>
              </w:rPr>
              <w:t>Consequence</w:t>
            </w:r>
          </w:p>
        </w:tc>
      </w:tr>
      <w:tr>
        <w:tc>
          <w:tcPr>
            <w:tcW w:type="dxa" w:w="2448"/>
          </w:tcPr>
          <w:p>
            <w:r/>
            <w:r>
              <w:rPr>
                <w:rFonts w:ascii="Times New Roman" w:hAnsi="Times New Roman" w:cs="Times New Roman"/>
                <w:b w:val="0"/>
                <w:i w:val="0"/>
                <w:sz w:val="18"/>
                <w:u w:val="none"/>
              </w:rPr>
              <w:t>Tier 1 deal</w:t>
            </w:r>
          </w:p>
        </w:tc>
        <w:tc>
          <w:tcPr>
            <w:tcW w:type="dxa" w:w="3744"/>
          </w:tcPr>
          <w:p>
            <w:r/>
            <w:r>
              <w:rPr>
                <w:rFonts w:ascii="Times New Roman" w:hAnsi="Times New Roman" w:cs="Times New Roman"/>
                <w:b w:val="0"/>
                <w:i w:val="0"/>
                <w:sz w:val="18"/>
                <w:u w:val="none"/>
              </w:rPr>
              <w:t>Annualised contract value above USD 250,000</w:t>
            </w:r>
          </w:p>
        </w:tc>
        <w:tc>
          <w:tcPr>
            <w:tcW w:type="dxa" w:w="3744"/>
          </w:tcPr>
          <w:p>
            <w:r/>
            <w:r>
              <w:rPr>
                <w:rFonts w:ascii="Times New Roman" w:hAnsi="Times New Roman" w:cs="Times New Roman"/>
                <w:b w:val="0"/>
                <w:i w:val="0"/>
                <w:sz w:val="18"/>
                <w:u w:val="none"/>
              </w:rPr>
              <w:t>Deal desk approval required</w:t>
            </w:r>
          </w:p>
        </w:tc>
      </w:tr>
      <w:tr>
        <w:tc>
          <w:tcPr>
            <w:tcW w:type="dxa" w:w="2448"/>
          </w:tcPr>
          <w:p>
            <w:r/>
            <w:r>
              <w:rPr>
                <w:rFonts w:ascii="Times New Roman" w:hAnsi="Times New Roman" w:cs="Times New Roman"/>
                <w:b w:val="0"/>
                <w:i w:val="0"/>
                <w:sz w:val="18"/>
                <w:u w:val="none"/>
              </w:rPr>
              <w:t>Tier 2 deal</w:t>
            </w:r>
          </w:p>
        </w:tc>
        <w:tc>
          <w:tcPr>
            <w:tcW w:type="dxa" w:w="3744"/>
          </w:tcPr>
          <w:p>
            <w:r/>
            <w:r>
              <w:rPr>
                <w:rFonts w:ascii="Times New Roman" w:hAnsi="Times New Roman" w:cs="Times New Roman"/>
                <w:b w:val="0"/>
                <w:i w:val="0"/>
                <w:sz w:val="18"/>
                <w:u w:val="none"/>
              </w:rPr>
              <w:t>Annualised contract value from USD 50,000 to USD 250,000</w:t>
            </w:r>
          </w:p>
        </w:tc>
        <w:tc>
          <w:tcPr>
            <w:tcW w:type="dxa" w:w="3744"/>
          </w:tcPr>
          <w:p>
            <w:r/>
            <w:r>
              <w:rPr>
                <w:rFonts w:ascii="Times New Roman" w:hAnsi="Times New Roman" w:cs="Times New Roman"/>
                <w:b w:val="0"/>
                <w:i w:val="0"/>
                <w:sz w:val="18"/>
                <w:u w:val="none"/>
              </w:rPr>
              <w:t>Account Executive may sign within playbook; no fallback 2 without deal desk</w:t>
            </w:r>
          </w:p>
        </w:tc>
      </w:tr>
      <w:tr>
        <w:tc>
          <w:tcPr>
            <w:tcW w:type="dxa" w:w="2448"/>
          </w:tcPr>
          <w:p>
            <w:r/>
            <w:r>
              <w:rPr>
                <w:rFonts w:ascii="Times New Roman" w:hAnsi="Times New Roman" w:cs="Times New Roman"/>
                <w:b w:val="0"/>
                <w:i w:val="0"/>
                <w:sz w:val="18"/>
                <w:u w:val="none"/>
              </w:rPr>
              <w:t>Tier 3 deal</w:t>
            </w:r>
          </w:p>
        </w:tc>
        <w:tc>
          <w:tcPr>
            <w:tcW w:type="dxa" w:w="3744"/>
          </w:tcPr>
          <w:p>
            <w:r/>
            <w:r>
              <w:rPr>
                <w:rFonts w:ascii="Times New Roman" w:hAnsi="Times New Roman" w:cs="Times New Roman"/>
                <w:b w:val="0"/>
                <w:i w:val="0"/>
                <w:sz w:val="18"/>
                <w:u w:val="none"/>
              </w:rPr>
              <w:t>Annualised contract value below USD 50,000</w:t>
            </w:r>
          </w:p>
        </w:tc>
        <w:tc>
          <w:tcPr>
            <w:tcW w:type="dxa" w:w="3744"/>
          </w:tcPr>
          <w:p>
            <w:r/>
            <w:r>
              <w:rPr>
                <w:rFonts w:ascii="Times New Roman" w:hAnsi="Times New Roman" w:cs="Times New Roman"/>
                <w:b w:val="0"/>
                <w:i w:val="0"/>
                <w:sz w:val="18"/>
                <w:u w:val="none"/>
              </w:rPr>
              <w:t>Account Executive may sign; no concessions outside fallback 1</w:t>
            </w:r>
          </w:p>
        </w:tc>
      </w:tr>
      <w:tr>
        <w:tc>
          <w:tcPr>
            <w:tcW w:type="dxa" w:w="2448"/>
          </w:tcPr>
          <w:p>
            <w:r/>
            <w:r>
              <w:rPr>
                <w:rFonts w:ascii="Times New Roman" w:hAnsi="Times New Roman" w:cs="Times New Roman"/>
                <w:b w:val="0"/>
                <w:i w:val="0"/>
                <w:sz w:val="18"/>
                <w:u w:val="none"/>
              </w:rPr>
              <w:t>Material security incident</w:t>
            </w:r>
          </w:p>
        </w:tc>
        <w:tc>
          <w:tcPr>
            <w:tcW w:type="dxa" w:w="3744"/>
          </w:tcPr>
          <w:p>
            <w:r/>
            <w:r>
              <w:rPr>
                <w:rFonts w:ascii="Times New Roman" w:hAnsi="Times New Roman" w:cs="Times New Roman"/>
                <w:b w:val="0"/>
                <w:i w:val="0"/>
                <w:sz w:val="18"/>
                <w:u w:val="none"/>
              </w:rPr>
              <w:t>A breach of Customer Data that is likely to result in risk to the rights and freedoms of natural persons, on the standard used in section 10 of this playbook</w:t>
            </w:r>
          </w:p>
        </w:tc>
        <w:tc>
          <w:tcPr>
            <w:tcW w:type="dxa" w:w="3744"/>
          </w:tcPr>
          <w:p>
            <w:r/>
            <w:r>
              <w:rPr>
                <w:rFonts w:ascii="Times New Roman" w:hAnsi="Times New Roman" w:cs="Times New Roman"/>
                <w:b w:val="0"/>
                <w:i w:val="0"/>
                <w:sz w:val="18"/>
                <w:u w:val="none"/>
              </w:rPr>
              <w:t>Immediately escalates to Head of Security and GC</w:t>
            </w:r>
          </w:p>
        </w:tc>
      </w:tr>
      <w:tr>
        <w:tc>
          <w:tcPr>
            <w:tcW w:type="dxa" w:w="2448"/>
          </w:tcPr>
          <w:p>
            <w:r/>
            <w:r>
              <w:rPr>
                <w:rFonts w:ascii="Times New Roman" w:hAnsi="Times New Roman" w:cs="Times New Roman"/>
                <w:b w:val="0"/>
                <w:i w:val="0"/>
                <w:sz w:val="18"/>
                <w:u w:val="none"/>
              </w:rPr>
              <w:t>Red line</w:t>
            </w:r>
          </w:p>
        </w:tc>
        <w:tc>
          <w:tcPr>
            <w:tcW w:type="dxa" w:w="3744"/>
          </w:tcPr>
          <w:p>
            <w:r/>
            <w:r>
              <w:rPr>
                <w:rFonts w:ascii="Times New Roman" w:hAnsi="Times New Roman" w:cs="Times New Roman"/>
                <w:b w:val="0"/>
                <w:i w:val="0"/>
                <w:sz w:val="18"/>
                <w:u w:val="none"/>
              </w:rPr>
              <w:t>A walk-away position, shown in the Standard positions section. Not authorised for field negotiation.</w:t>
            </w:r>
          </w:p>
        </w:tc>
        <w:tc>
          <w:tcPr>
            <w:tcW w:type="dxa" w:w="3744"/>
          </w:tcPr>
          <w:p>
            <w:r/>
            <w:r>
              <w:rPr>
                <w:rFonts w:ascii="Times New Roman" w:hAnsi="Times New Roman" w:cs="Times New Roman"/>
                <w:b w:val="0"/>
                <w:i w:val="0"/>
                <w:sz w:val="18"/>
                <w:u w:val="none"/>
              </w:rPr>
              <w:t>GC only</w:t>
            </w:r>
          </w:p>
        </w:tc>
      </w:tr>
    </w:tbl>
    <w:p>
      <w:pPr/>
    </w:p>
    <w:p>
      <w:pPr>
        <w:spacing w:before="200" w:after="80" w:line="276" w:lineRule="auto"/>
      </w:pPr>
      <w:r>
        <w:rPr>
          <w:rFonts w:ascii="Times New Roman" w:hAnsi="Times New Roman" w:cs="Times New Roman"/>
          <w:b/>
          <w:i w:val="0"/>
          <w:caps/>
          <w:sz w:val="24"/>
          <w:u w:val="none"/>
        </w:rPr>
        <w:t>4. Approval matrix</w:t>
      </w:r>
    </w:p>
    <w:tbl>
      <w:tblPr>
        <w:tblStyle w:val="TableGrid"/>
        <w:tblW w:type="auto" w:w="0"/>
        <w:tblLook w:firstColumn="1" w:firstRow="1" w:lastColumn="0" w:lastRow="0" w:noHBand="0" w:noVBand="1" w:val="04A0"/>
      </w:tblPr>
      <w:tblGrid>
        <w:gridCol w:w="2340"/>
        <w:gridCol w:w="2340"/>
        <w:gridCol w:w="2340"/>
        <w:gridCol w:w="2340"/>
      </w:tblGrid>
      <w:tr>
        <w:tc>
          <w:tcPr>
            <w:tcW w:type="dxa" w:w="4320"/>
          </w:tcPr>
          <w:p>
            <w:r/>
            <w:r>
              <w:rPr>
                <w:rFonts w:ascii="Times New Roman" w:hAnsi="Times New Roman" w:cs="Times New Roman"/>
                <w:b/>
                <w:i w:val="0"/>
                <w:sz w:val="18"/>
                <w:u w:val="none"/>
              </w:rPr>
              <w:t>Situation</w:t>
            </w:r>
          </w:p>
        </w:tc>
        <w:tc>
          <w:tcPr>
            <w:tcW w:type="dxa" w:w="2160"/>
          </w:tcPr>
          <w:p>
            <w:r/>
            <w:r>
              <w:rPr>
                <w:rFonts w:ascii="Times New Roman" w:hAnsi="Times New Roman" w:cs="Times New Roman"/>
                <w:b/>
                <w:i w:val="0"/>
                <w:sz w:val="18"/>
                <w:u w:val="none"/>
              </w:rPr>
              <w:t>Prepared by</w:t>
            </w:r>
          </w:p>
        </w:tc>
        <w:tc>
          <w:tcPr>
            <w:tcW w:type="dxa" w:w="2448"/>
          </w:tcPr>
          <w:p>
            <w:r/>
            <w:r>
              <w:rPr>
                <w:rFonts w:ascii="Times New Roman" w:hAnsi="Times New Roman" w:cs="Times New Roman"/>
                <w:b/>
                <w:i w:val="0"/>
                <w:sz w:val="18"/>
                <w:u w:val="none"/>
              </w:rPr>
              <w:t>Approved by</w:t>
            </w:r>
          </w:p>
        </w:tc>
        <w:tc>
          <w:tcPr>
            <w:tcW w:type="dxa" w:w="1440"/>
          </w:tcPr>
          <w:p>
            <w:r/>
            <w:r>
              <w:rPr>
                <w:rFonts w:ascii="Times New Roman" w:hAnsi="Times New Roman" w:cs="Times New Roman"/>
                <w:b/>
                <w:i w:val="0"/>
                <w:sz w:val="18"/>
                <w:u w:val="none"/>
              </w:rPr>
              <w:t>Target turnaround</w:t>
            </w:r>
          </w:p>
        </w:tc>
      </w:tr>
      <w:tr>
        <w:tc>
          <w:tcPr>
            <w:tcW w:type="dxa" w:w="4320"/>
          </w:tcPr>
          <w:p>
            <w:r/>
            <w:r>
              <w:rPr>
                <w:rFonts w:ascii="Times New Roman" w:hAnsi="Times New Roman" w:cs="Times New Roman"/>
                <w:b w:val="0"/>
                <w:i w:val="0"/>
                <w:sz w:val="18"/>
                <w:u w:val="none"/>
              </w:rPr>
              <w:t>Standard position, no concession</w:t>
            </w:r>
          </w:p>
        </w:tc>
        <w:tc>
          <w:tcPr>
            <w:tcW w:type="dxa" w:w="2160"/>
          </w:tcPr>
          <w:p>
            <w:r/>
            <w:r>
              <w:rPr>
                <w:rFonts w:ascii="Times New Roman" w:hAnsi="Times New Roman" w:cs="Times New Roman"/>
                <w:b w:val="0"/>
                <w:i w:val="0"/>
                <w:sz w:val="18"/>
                <w:u w:val="none"/>
              </w:rPr>
              <w:t>Account Executive</w:t>
            </w:r>
          </w:p>
        </w:tc>
        <w:tc>
          <w:tcPr>
            <w:tcW w:type="dxa" w:w="2448"/>
          </w:tcPr>
          <w:p>
            <w:r/>
            <w:r>
              <w:rPr>
                <w:rFonts w:ascii="Times New Roman" w:hAnsi="Times New Roman" w:cs="Times New Roman"/>
                <w:b w:val="0"/>
                <w:i w:val="0"/>
                <w:sz w:val="18"/>
                <w:u w:val="none"/>
              </w:rPr>
              <w:t>Manager, Commercial</w:t>
            </w:r>
          </w:p>
        </w:tc>
        <w:tc>
          <w:tcPr>
            <w:tcW w:type="dxa" w:w="1440"/>
          </w:tcPr>
          <w:p>
            <w:r/>
            <w:r>
              <w:rPr>
                <w:rFonts w:ascii="Times New Roman" w:hAnsi="Times New Roman" w:cs="Times New Roman"/>
                <w:b w:val="0"/>
                <w:i w:val="0"/>
                <w:sz w:val="18"/>
                <w:u w:val="none"/>
              </w:rPr>
              <w:t>Same day</w:t>
            </w:r>
          </w:p>
        </w:tc>
      </w:tr>
      <w:tr>
        <w:tc>
          <w:tcPr>
            <w:tcW w:type="dxa" w:w="4320"/>
          </w:tcPr>
          <w:p>
            <w:r/>
            <w:r>
              <w:rPr>
                <w:rFonts w:ascii="Times New Roman" w:hAnsi="Times New Roman" w:cs="Times New Roman"/>
                <w:b w:val="0"/>
                <w:i w:val="0"/>
                <w:sz w:val="18"/>
                <w:u w:val="none"/>
              </w:rPr>
              <w:t>Fallback 1 used</w:t>
            </w:r>
          </w:p>
        </w:tc>
        <w:tc>
          <w:tcPr>
            <w:tcW w:type="dxa" w:w="2160"/>
          </w:tcPr>
          <w:p>
            <w:r/>
            <w:r>
              <w:rPr>
                <w:rFonts w:ascii="Times New Roman" w:hAnsi="Times New Roman" w:cs="Times New Roman"/>
                <w:b w:val="0"/>
                <w:i w:val="0"/>
                <w:sz w:val="18"/>
                <w:u w:val="none"/>
              </w:rPr>
              <w:t>Account Executive</w:t>
            </w:r>
          </w:p>
        </w:tc>
        <w:tc>
          <w:tcPr>
            <w:tcW w:type="dxa" w:w="2448"/>
          </w:tcPr>
          <w:p>
            <w:r/>
            <w:r>
              <w:rPr>
                <w:rFonts w:ascii="Times New Roman" w:hAnsi="Times New Roman" w:cs="Times New Roman"/>
                <w:b w:val="0"/>
                <w:i w:val="0"/>
                <w:sz w:val="18"/>
                <w:u w:val="none"/>
              </w:rPr>
              <w:t>Deal Desk</w:t>
            </w:r>
          </w:p>
        </w:tc>
        <w:tc>
          <w:tcPr>
            <w:tcW w:type="dxa" w:w="1440"/>
          </w:tcPr>
          <w:p>
            <w:r/>
            <w:r>
              <w:rPr>
                <w:rFonts w:ascii="Times New Roman" w:hAnsi="Times New Roman" w:cs="Times New Roman"/>
                <w:b w:val="0"/>
                <w:i w:val="0"/>
                <w:sz w:val="18"/>
                <w:u w:val="none"/>
              </w:rPr>
              <w:t>Same day</w:t>
            </w:r>
          </w:p>
        </w:tc>
      </w:tr>
      <w:tr>
        <w:tc>
          <w:tcPr>
            <w:tcW w:type="dxa" w:w="4320"/>
          </w:tcPr>
          <w:p>
            <w:r/>
            <w:r>
              <w:rPr>
                <w:rFonts w:ascii="Times New Roman" w:hAnsi="Times New Roman" w:cs="Times New Roman"/>
                <w:b w:val="0"/>
                <w:i w:val="0"/>
                <w:sz w:val="18"/>
                <w:u w:val="none"/>
              </w:rPr>
              <w:t>Fallback 2 used</w:t>
            </w:r>
          </w:p>
        </w:tc>
        <w:tc>
          <w:tcPr>
            <w:tcW w:type="dxa" w:w="2160"/>
          </w:tcPr>
          <w:p>
            <w:r/>
            <w:r>
              <w:rPr>
                <w:rFonts w:ascii="Times New Roman" w:hAnsi="Times New Roman" w:cs="Times New Roman"/>
                <w:b w:val="0"/>
                <w:i w:val="0"/>
                <w:sz w:val="18"/>
                <w:u w:val="none"/>
              </w:rPr>
              <w:t>Deal Desk</w:t>
            </w:r>
          </w:p>
        </w:tc>
        <w:tc>
          <w:tcPr>
            <w:tcW w:type="dxa" w:w="2448"/>
          </w:tcPr>
          <w:p>
            <w:r/>
            <w:r>
              <w:rPr>
                <w:rFonts w:ascii="Times New Roman" w:hAnsi="Times New Roman" w:cs="Times New Roman"/>
                <w:b w:val="0"/>
                <w:i w:val="0"/>
                <w:sz w:val="18"/>
                <w:u w:val="none"/>
              </w:rPr>
              <w:t>Associate GC</w:t>
            </w:r>
          </w:p>
        </w:tc>
        <w:tc>
          <w:tcPr>
            <w:tcW w:type="dxa" w:w="1440"/>
          </w:tcPr>
          <w:p>
            <w:r/>
            <w:r>
              <w:rPr>
                <w:rFonts w:ascii="Times New Roman" w:hAnsi="Times New Roman" w:cs="Times New Roman"/>
                <w:b w:val="0"/>
                <w:i w:val="0"/>
                <w:sz w:val="18"/>
                <w:u w:val="none"/>
              </w:rPr>
              <w:t>2 business days</w:t>
            </w:r>
          </w:p>
        </w:tc>
      </w:tr>
      <w:tr>
        <w:tc>
          <w:tcPr>
            <w:tcW w:type="dxa" w:w="4320"/>
          </w:tcPr>
          <w:p>
            <w:r/>
            <w:r>
              <w:rPr>
                <w:rFonts w:ascii="Times New Roman" w:hAnsi="Times New Roman" w:cs="Times New Roman"/>
                <w:b w:val="0"/>
                <w:i w:val="0"/>
                <w:sz w:val="18"/>
                <w:u w:val="none"/>
              </w:rPr>
              <w:t>Any walk-away line moved</w:t>
            </w:r>
          </w:p>
        </w:tc>
        <w:tc>
          <w:tcPr>
            <w:tcW w:type="dxa" w:w="2160"/>
          </w:tcPr>
          <w:p>
            <w:r/>
            <w:r>
              <w:rPr>
                <w:rFonts w:ascii="Times New Roman" w:hAnsi="Times New Roman" w:cs="Times New Roman"/>
                <w:b w:val="0"/>
                <w:i w:val="0"/>
                <w:sz w:val="18"/>
                <w:u w:val="none"/>
              </w:rPr>
              <w:t>Associate GC</w:t>
            </w:r>
          </w:p>
        </w:tc>
        <w:tc>
          <w:tcPr>
            <w:tcW w:type="dxa" w:w="2448"/>
          </w:tcPr>
          <w:p>
            <w:r/>
            <w:r>
              <w:rPr>
                <w:rFonts w:ascii="Times New Roman" w:hAnsi="Times New Roman" w:cs="Times New Roman"/>
                <w:b w:val="0"/>
                <w:i w:val="0"/>
                <w:sz w:val="18"/>
                <w:u w:val="none"/>
              </w:rPr>
              <w:t>General Counsel</w:t>
            </w:r>
          </w:p>
        </w:tc>
        <w:tc>
          <w:tcPr>
            <w:tcW w:type="dxa" w:w="1440"/>
          </w:tcPr>
          <w:p>
            <w:r/>
            <w:r>
              <w:rPr>
                <w:rFonts w:ascii="Times New Roman" w:hAnsi="Times New Roman" w:cs="Times New Roman"/>
                <w:b w:val="0"/>
                <w:i w:val="0"/>
                <w:sz w:val="18"/>
                <w:u w:val="none"/>
              </w:rPr>
              <w:t>3 business days</w:t>
            </w:r>
          </w:p>
        </w:tc>
      </w:tr>
      <w:tr>
        <w:tc>
          <w:tcPr>
            <w:tcW w:type="dxa" w:w="4320"/>
          </w:tcPr>
          <w:p>
            <w:r/>
            <w:r>
              <w:rPr>
                <w:rFonts w:ascii="Times New Roman" w:hAnsi="Times New Roman" w:cs="Times New Roman"/>
                <w:b w:val="0"/>
                <w:i w:val="0"/>
                <w:sz w:val="18"/>
                <w:u w:val="none"/>
              </w:rPr>
              <w:t>Liability cap above 12 months fees</w:t>
            </w:r>
          </w:p>
        </w:tc>
        <w:tc>
          <w:tcPr>
            <w:tcW w:type="dxa" w:w="2160"/>
          </w:tcPr>
          <w:p>
            <w:r/>
            <w:r>
              <w:rPr>
                <w:rFonts w:ascii="Times New Roman" w:hAnsi="Times New Roman" w:cs="Times New Roman"/>
                <w:b w:val="0"/>
                <w:i w:val="0"/>
                <w:sz w:val="18"/>
                <w:u w:val="none"/>
              </w:rPr>
              <w:t>Associate GC</w:t>
            </w:r>
          </w:p>
        </w:tc>
        <w:tc>
          <w:tcPr>
            <w:tcW w:type="dxa" w:w="2448"/>
          </w:tcPr>
          <w:p>
            <w:r/>
            <w:r>
              <w:rPr>
                <w:rFonts w:ascii="Times New Roman" w:hAnsi="Times New Roman" w:cs="Times New Roman"/>
                <w:b w:val="0"/>
                <w:i w:val="0"/>
                <w:sz w:val="18"/>
                <w:u w:val="none"/>
              </w:rPr>
              <w:t>CFO and General Counsel</w:t>
            </w:r>
          </w:p>
        </w:tc>
        <w:tc>
          <w:tcPr>
            <w:tcW w:type="dxa" w:w="1440"/>
          </w:tcPr>
          <w:p>
            <w:r/>
            <w:r>
              <w:rPr>
                <w:rFonts w:ascii="Times New Roman" w:hAnsi="Times New Roman" w:cs="Times New Roman"/>
                <w:b w:val="0"/>
                <w:i w:val="0"/>
                <w:sz w:val="18"/>
                <w:u w:val="none"/>
              </w:rPr>
              <w:t>5 business days</w:t>
            </w:r>
          </w:p>
        </w:tc>
      </w:tr>
      <w:tr>
        <w:tc>
          <w:tcPr>
            <w:tcW w:type="dxa" w:w="4320"/>
          </w:tcPr>
          <w:p>
            <w:r/>
            <w:r>
              <w:rPr>
                <w:rFonts w:ascii="Times New Roman" w:hAnsi="Times New Roman" w:cs="Times New Roman"/>
                <w:b w:val="0"/>
                <w:i w:val="0"/>
                <w:sz w:val="18"/>
                <w:u w:val="none"/>
              </w:rPr>
              <w:t>Unlimited indemnity from Northwind</w:t>
            </w:r>
          </w:p>
        </w:tc>
        <w:tc>
          <w:tcPr>
            <w:tcW w:type="dxa" w:w="2160"/>
          </w:tcPr>
          <w:p>
            <w:r/>
            <w:r>
              <w:rPr>
                <w:rFonts w:ascii="Times New Roman" w:hAnsi="Times New Roman" w:cs="Times New Roman"/>
                <w:b w:val="0"/>
                <w:i w:val="0"/>
                <w:sz w:val="18"/>
                <w:u w:val="none"/>
              </w:rPr>
              <w:t>Associate GC</w:t>
            </w:r>
          </w:p>
        </w:tc>
        <w:tc>
          <w:tcPr>
            <w:tcW w:type="dxa" w:w="2448"/>
          </w:tcPr>
          <w:p>
            <w:r/>
            <w:r>
              <w:rPr>
                <w:rFonts w:ascii="Times New Roman" w:hAnsi="Times New Roman" w:cs="Times New Roman"/>
                <w:b w:val="0"/>
                <w:i w:val="0"/>
                <w:sz w:val="18"/>
                <w:u w:val="none"/>
              </w:rPr>
              <w:t>General Counsel</w:t>
            </w:r>
          </w:p>
        </w:tc>
        <w:tc>
          <w:tcPr>
            <w:tcW w:type="dxa" w:w="1440"/>
          </w:tcPr>
          <w:p>
            <w:r/>
            <w:r>
              <w:rPr>
                <w:rFonts w:ascii="Times New Roman" w:hAnsi="Times New Roman" w:cs="Times New Roman"/>
                <w:b w:val="0"/>
                <w:i w:val="0"/>
                <w:sz w:val="18"/>
                <w:u w:val="none"/>
              </w:rPr>
              <w:t>Not delegable below GC</w:t>
            </w:r>
          </w:p>
        </w:tc>
      </w:tr>
      <w:tr>
        <w:tc>
          <w:tcPr>
            <w:tcW w:type="dxa" w:w="4320"/>
          </w:tcPr>
          <w:p>
            <w:r/>
            <w:r>
              <w:rPr>
                <w:rFonts w:ascii="Times New Roman" w:hAnsi="Times New Roman" w:cs="Times New Roman"/>
                <w:b w:val="0"/>
                <w:i w:val="0"/>
                <w:sz w:val="18"/>
                <w:u w:val="none"/>
              </w:rPr>
              <w:t>Governing law other than Delaware or New York</w:t>
            </w:r>
          </w:p>
        </w:tc>
        <w:tc>
          <w:tcPr>
            <w:tcW w:type="dxa" w:w="2160"/>
          </w:tcPr>
          <w:p>
            <w:r/>
            <w:r>
              <w:rPr>
                <w:rFonts w:ascii="Times New Roman" w:hAnsi="Times New Roman" w:cs="Times New Roman"/>
                <w:b w:val="0"/>
                <w:i w:val="0"/>
                <w:sz w:val="18"/>
                <w:u w:val="none"/>
              </w:rPr>
              <w:t>Deal Desk</w:t>
            </w:r>
          </w:p>
        </w:tc>
        <w:tc>
          <w:tcPr>
            <w:tcW w:type="dxa" w:w="2448"/>
          </w:tcPr>
          <w:p>
            <w:r/>
            <w:r>
              <w:rPr>
                <w:rFonts w:ascii="Times New Roman" w:hAnsi="Times New Roman" w:cs="Times New Roman"/>
                <w:b w:val="0"/>
                <w:i w:val="0"/>
                <w:sz w:val="18"/>
                <w:u w:val="none"/>
              </w:rPr>
              <w:t>Associate GC</w:t>
            </w:r>
          </w:p>
        </w:tc>
        <w:tc>
          <w:tcPr>
            <w:tcW w:type="dxa" w:w="1440"/>
          </w:tcPr>
          <w:p>
            <w:r/>
            <w:r>
              <w:rPr>
                <w:rFonts w:ascii="Times New Roman" w:hAnsi="Times New Roman" w:cs="Times New Roman"/>
                <w:b w:val="0"/>
                <w:i w:val="0"/>
                <w:sz w:val="18"/>
                <w:u w:val="none"/>
              </w:rPr>
              <w:t>2 business days</w:t>
            </w:r>
          </w:p>
        </w:tc>
      </w:tr>
      <w:tr>
        <w:tc>
          <w:tcPr>
            <w:tcW w:type="dxa" w:w="4320"/>
          </w:tcPr>
          <w:p>
            <w:r/>
            <w:r>
              <w:rPr>
                <w:rFonts w:ascii="Times New Roman" w:hAnsi="Times New Roman" w:cs="Times New Roman"/>
                <w:b w:val="0"/>
                <w:i w:val="0"/>
                <w:sz w:val="18"/>
                <w:u w:val="none"/>
              </w:rPr>
              <w:t>Customer audit right broader than annual, on-site report review</w:t>
            </w:r>
          </w:p>
        </w:tc>
        <w:tc>
          <w:tcPr>
            <w:tcW w:type="dxa" w:w="2160"/>
          </w:tcPr>
          <w:p>
            <w:r/>
            <w:r>
              <w:rPr>
                <w:rFonts w:ascii="Times New Roman" w:hAnsi="Times New Roman" w:cs="Times New Roman"/>
                <w:b w:val="0"/>
                <w:i w:val="0"/>
                <w:sz w:val="18"/>
                <w:u w:val="none"/>
              </w:rPr>
              <w:t>Associate GC</w:t>
            </w:r>
          </w:p>
        </w:tc>
        <w:tc>
          <w:tcPr>
            <w:tcW w:type="dxa" w:w="2448"/>
          </w:tcPr>
          <w:p>
            <w:r/>
            <w:r>
              <w:rPr>
                <w:rFonts w:ascii="Times New Roman" w:hAnsi="Times New Roman" w:cs="Times New Roman"/>
                <w:b w:val="0"/>
                <w:i w:val="0"/>
                <w:sz w:val="18"/>
                <w:u w:val="none"/>
              </w:rPr>
              <w:t>Head of Security</w:t>
            </w:r>
          </w:p>
        </w:tc>
        <w:tc>
          <w:tcPr>
            <w:tcW w:type="dxa" w:w="1440"/>
          </w:tcPr>
          <w:p>
            <w:r/>
            <w:r>
              <w:rPr>
                <w:rFonts w:ascii="Times New Roman" w:hAnsi="Times New Roman" w:cs="Times New Roman"/>
                <w:b w:val="0"/>
                <w:i w:val="0"/>
                <w:sz w:val="18"/>
                <w:u w:val="none"/>
              </w:rPr>
              <w:t>3 business days</w:t>
            </w:r>
          </w:p>
        </w:tc>
      </w:tr>
    </w:tbl>
    <w:p>
      <w:pPr/>
    </w:p>
    <w:p>
      <w:pPr>
        <w:spacing w:before="200" w:after="80" w:line="276" w:lineRule="auto"/>
      </w:pPr>
      <w:r>
        <w:rPr>
          <w:rFonts w:ascii="Times New Roman" w:hAnsi="Times New Roman" w:cs="Times New Roman"/>
          <w:b/>
          <w:i w:val="0"/>
          <w:caps/>
          <w:sz w:val="24"/>
          <w:u w:val="none"/>
        </w:rPr>
        <w:t>5. Standard positions</w:t>
      </w:r>
    </w:p>
    <w:p>
      <w:pPr>
        <w:spacing w:before="0" w:after="120" w:line="276" w:lineRule="auto"/>
      </w:pPr>
      <w:r>
        <w:rPr>
          <w:rFonts w:ascii="Times New Roman" w:hAnsi="Times New Roman" w:cs="Times New Roman"/>
          <w:b w:val="0"/>
          <w:i w:val="0"/>
          <w:u w:val="none"/>
        </w:rPr>
        <w:t>Each topic below is a separate table. The rows that appear in a table depend on the topic; where a field is not shown, it does not apply.</w:t>
      </w:r>
    </w:p>
    <w:p>
      <w:pPr>
        <w:spacing w:before="120" w:after="60" w:line="276" w:lineRule="auto"/>
      </w:pPr>
      <w:r>
        <w:rPr>
          <w:rFonts w:ascii="Times New Roman" w:hAnsi="Times New Roman" w:cs="Times New Roman"/>
          <w:b/>
          <w:i w:val="0"/>
          <w:sz w:val="21"/>
          <w:u w:val="none"/>
        </w:rPr>
        <w:t>P1. Limitation of liability</w:t>
      </w:r>
    </w:p>
    <w:tbl>
      <w:tblPr>
        <w:tblStyle w:val="TableGrid"/>
        <w:tblW w:type="auto" w:w="0"/>
        <w:tblLook w:firstColumn="1" w:firstRow="1" w:lastColumn="0" w:lastRow="0" w:noHBand="0" w:noVBand="1" w:val="04A0"/>
      </w:tblPr>
      <w:tblGrid>
        <w:gridCol w:w="4680"/>
        <w:gridCol w:w="4680"/>
      </w:tblGrid>
      <w:tr>
        <w:tc>
          <w:tcPr>
            <w:tcW w:type="dxa" w:w="2160"/>
          </w:tcPr>
          <w:p>
            <w:r/>
            <w:r>
              <w:rPr>
                <w:rFonts w:ascii="Times New Roman" w:hAnsi="Times New Roman" w:cs="Times New Roman"/>
                <w:b/>
                <w:i w:val="0"/>
                <w:sz w:val="18"/>
                <w:u w:val="none"/>
              </w:rPr>
              <w:t>Field</w:t>
            </w:r>
          </w:p>
        </w:tc>
        <w:tc>
          <w:tcPr>
            <w:tcW w:type="dxa" w:w="8064"/>
          </w:tcPr>
          <w:p>
            <w:r/>
            <w:r>
              <w:rPr>
                <w:rFonts w:ascii="Times New Roman" w:hAnsi="Times New Roman" w:cs="Times New Roman"/>
                <w:b/>
                <w:i w:val="0"/>
                <w:sz w:val="18"/>
                <w:u w:val="none"/>
              </w:rPr>
              <w:t>Position</w:t>
            </w:r>
          </w:p>
        </w:tc>
      </w:tr>
      <w:tr>
        <w:tc>
          <w:tcPr>
            <w:tcW w:type="dxa" w:w="2160"/>
          </w:tcPr>
          <w:p>
            <w:r/>
            <w:r>
              <w:rPr>
                <w:rFonts w:ascii="Times New Roman" w:hAnsi="Times New Roman" w:cs="Times New Roman"/>
                <w:b w:val="0"/>
                <w:i w:val="0"/>
                <w:sz w:val="18"/>
                <w:u w:val="none"/>
              </w:rPr>
              <w:t>Ref</w:t>
            </w:r>
          </w:p>
        </w:tc>
        <w:tc>
          <w:tcPr>
            <w:tcW w:type="dxa" w:w="8064"/>
          </w:tcPr>
          <w:p>
            <w:r/>
            <w:r>
              <w:rPr>
                <w:rFonts w:ascii="Times New Roman" w:hAnsi="Times New Roman" w:cs="Times New Roman"/>
                <w:b w:val="0"/>
                <w:i w:val="0"/>
                <w:sz w:val="18"/>
                <w:u w:val="none"/>
              </w:rPr>
              <w:t>P1</w:t>
            </w:r>
          </w:p>
        </w:tc>
      </w:tr>
      <w:tr>
        <w:tc>
          <w:tcPr>
            <w:tcW w:type="dxa" w:w="2160"/>
          </w:tcPr>
          <w:p>
            <w:r/>
            <w:r>
              <w:rPr>
                <w:rFonts w:ascii="Times New Roman" w:hAnsi="Times New Roman" w:cs="Times New Roman"/>
                <w:b w:val="0"/>
                <w:i w:val="0"/>
                <w:sz w:val="18"/>
                <w:u w:val="none"/>
              </w:rPr>
              <w:t>Applies to</w:t>
            </w:r>
          </w:p>
        </w:tc>
        <w:tc>
          <w:tcPr>
            <w:tcW w:type="dxa" w:w="8064"/>
          </w:tcPr>
          <w:p>
            <w:r/>
            <w:r>
              <w:rPr>
                <w:rFonts w:ascii="Times New Roman" w:hAnsi="Times New Roman" w:cs="Times New Roman"/>
                <w:b w:val="0"/>
                <w:i w:val="0"/>
                <w:sz w:val="18"/>
                <w:u w:val="none"/>
              </w:rPr>
              <w:t>MSA, order form, DPA</w:t>
            </w:r>
          </w:p>
        </w:tc>
      </w:tr>
      <w:tr>
        <w:tc>
          <w:tcPr>
            <w:tcW w:type="dxa" w:w="2160"/>
          </w:tcPr>
          <w:p>
            <w:r/>
            <w:r>
              <w:rPr>
                <w:rFonts w:ascii="Times New Roman" w:hAnsi="Times New Roman" w:cs="Times New Roman"/>
                <w:b w:val="0"/>
                <w:i w:val="0"/>
                <w:sz w:val="18"/>
                <w:u w:val="none"/>
              </w:rPr>
              <w:t>Standard position</w:t>
            </w:r>
          </w:p>
        </w:tc>
        <w:tc>
          <w:tcPr>
            <w:tcW w:type="dxa" w:w="8064"/>
          </w:tcPr>
          <w:p>
            <w:r/>
            <w:r>
              <w:rPr>
                <w:rFonts w:ascii="Times New Roman" w:hAnsi="Times New Roman" w:cs="Times New Roman"/>
                <w:b w:val="0"/>
                <w:i w:val="0"/>
                <w:sz w:val="18"/>
                <w:u w:val="none"/>
              </w:rPr>
              <w:t>Each party's aggregate liability arising out of or in connection with the Agreement is limited to the total fees paid or payable by Customer under the applicable Order Form in the 12 months immediately preceding the event giving rise to the claim.</w:t>
            </w:r>
          </w:p>
        </w:tc>
      </w:tr>
      <w:tr>
        <w:tc>
          <w:tcPr>
            <w:tcW w:type="dxa" w:w="2160"/>
          </w:tcPr>
          <w:p>
            <w:r/>
            <w:r>
              <w:rPr>
                <w:rFonts w:ascii="Times New Roman" w:hAnsi="Times New Roman" w:cs="Times New Roman"/>
                <w:b w:val="0"/>
                <w:i w:val="0"/>
                <w:sz w:val="18"/>
                <w:u w:val="none"/>
              </w:rPr>
              <w:t>Fallback 1</w:t>
            </w:r>
          </w:p>
        </w:tc>
        <w:tc>
          <w:tcPr>
            <w:tcW w:type="dxa" w:w="8064"/>
          </w:tcPr>
          <w:p>
            <w:r/>
            <w:r>
              <w:rPr>
                <w:rFonts w:ascii="Times New Roman" w:hAnsi="Times New Roman" w:cs="Times New Roman"/>
                <w:b w:val="0"/>
                <w:i w:val="0"/>
                <w:sz w:val="18"/>
                <w:u w:val="none"/>
              </w:rPr>
              <w:t>Cap may be 12 months fees paid (excluding prepaid amounts) instead of paid or payable.</w:t>
            </w:r>
          </w:p>
        </w:tc>
      </w:tr>
      <w:tr>
        <w:tc>
          <w:tcPr>
            <w:tcW w:type="dxa" w:w="2160"/>
          </w:tcPr>
          <w:p>
            <w:r/>
            <w:r>
              <w:rPr>
                <w:rFonts w:ascii="Times New Roman" w:hAnsi="Times New Roman" w:cs="Times New Roman"/>
                <w:b w:val="0"/>
                <w:i w:val="0"/>
                <w:sz w:val="18"/>
                <w:u w:val="none"/>
              </w:rPr>
              <w:t>Fallback 2</w:t>
            </w:r>
          </w:p>
        </w:tc>
        <w:tc>
          <w:tcPr>
            <w:tcW w:type="dxa" w:w="8064"/>
          </w:tcPr>
          <w:p>
            <w:r/>
            <w:r>
              <w:rPr>
                <w:rFonts w:ascii="Times New Roman" w:hAnsi="Times New Roman" w:cs="Times New Roman"/>
                <w:b w:val="0"/>
                <w:i w:val="0"/>
                <w:sz w:val="18"/>
                <w:u w:val="none"/>
              </w:rPr>
              <w:t>Cap may rise to 18 months fees for Tier 1 deals where Customer will not accept 12 months.</w:t>
            </w:r>
          </w:p>
        </w:tc>
      </w:tr>
      <w:tr>
        <w:tc>
          <w:tcPr>
            <w:tcW w:type="dxa" w:w="2160"/>
          </w:tcPr>
          <w:p>
            <w:r/>
            <w:r>
              <w:rPr>
                <w:rFonts w:ascii="Times New Roman" w:hAnsi="Times New Roman" w:cs="Times New Roman"/>
                <w:b w:val="0"/>
                <w:i w:val="0"/>
                <w:sz w:val="18"/>
                <w:u w:val="none"/>
              </w:rPr>
              <w:t>Walk-away / red line</w:t>
            </w:r>
          </w:p>
        </w:tc>
        <w:tc>
          <w:tcPr>
            <w:tcW w:type="dxa" w:w="8064"/>
          </w:tcPr>
          <w:p>
            <w:r/>
            <w:r>
              <w:rPr>
                <w:rFonts w:ascii="Times New Roman" w:hAnsi="Times New Roman" w:cs="Times New Roman"/>
                <w:b w:val="0"/>
                <w:i w:val="0"/>
                <w:sz w:val="18"/>
                <w:u w:val="none"/>
              </w:rPr>
              <w:t>Unlimited liability for Northwind. Also: any cap that does not carve out Customer's payment obligations, Customer's breach of the confidentiality or data protection clauses, or Customer's indemnity obligations. We do not accept a super-cap on top of these either.</w:t>
            </w:r>
          </w:p>
        </w:tc>
      </w:tr>
      <w:tr>
        <w:tc>
          <w:tcPr>
            <w:tcW w:type="dxa" w:w="2160"/>
          </w:tcPr>
          <w:p>
            <w:r/>
            <w:r>
              <w:rPr>
                <w:rFonts w:ascii="Times New Roman" w:hAnsi="Times New Roman" w:cs="Times New Roman"/>
                <w:b w:val="0"/>
                <w:i w:val="0"/>
                <w:sz w:val="18"/>
                <w:u w:val="none"/>
              </w:rPr>
              <w:t>Escalation</w:t>
            </w:r>
          </w:p>
        </w:tc>
        <w:tc>
          <w:tcPr>
            <w:tcW w:type="dxa" w:w="8064"/>
          </w:tcPr>
          <w:p>
            <w:r/>
            <w:r>
              <w:rPr>
                <w:rFonts w:ascii="Times New Roman" w:hAnsi="Times New Roman" w:cs="Times New Roman"/>
                <w:b w:val="0"/>
                <w:i w:val="0"/>
                <w:sz w:val="18"/>
                <w:u w:val="none"/>
              </w:rPr>
              <w:t>CFO and General Counsel. No delegation below GC.</w:t>
            </w:r>
          </w:p>
        </w:tc>
      </w:tr>
      <w:tr>
        <w:tc>
          <w:tcPr>
            <w:tcW w:type="dxa" w:w="2160"/>
          </w:tcPr>
          <w:p>
            <w:r/>
            <w:r>
              <w:rPr>
                <w:rFonts w:ascii="Times New Roman" w:hAnsi="Times New Roman" w:cs="Times New Roman"/>
                <w:b w:val="0"/>
                <w:i w:val="0"/>
                <w:sz w:val="18"/>
                <w:u w:val="none"/>
              </w:rPr>
              <w:t>Drafting note</w:t>
            </w:r>
          </w:p>
        </w:tc>
        <w:tc>
          <w:tcPr>
            <w:tcW w:type="dxa" w:w="8064"/>
          </w:tcPr>
          <w:p>
            <w:r/>
            <w:r>
              <w:rPr>
                <w:rFonts w:ascii="Times New Roman" w:hAnsi="Times New Roman" w:cs="Times New Roman"/>
                <w:b w:val="0"/>
                <w:i w:val="0"/>
                <w:sz w:val="18"/>
                <w:u w:val="none"/>
              </w:rPr>
              <w:t>The red line is unlimited liability for Northwind, and a general cap that swallows the carve-out heads. A super-cap of two or three times the general cap is available for the confidentiality and data protection carve-outs only, and needs the deal economics in front of GC.</w:t>
            </w:r>
          </w:p>
        </w:tc>
      </w:tr>
      <w:tr>
        <w:tc>
          <w:tcPr>
            <w:tcW w:type="dxa" w:w="2160"/>
          </w:tcPr>
          <w:p>
            <w:r/>
            <w:r>
              <w:rPr>
                <w:rFonts w:ascii="Times New Roman" w:hAnsi="Times New Roman" w:cs="Times New Roman"/>
                <w:b w:val="0"/>
                <w:i w:val="0"/>
                <w:sz w:val="18"/>
                <w:u w:val="none"/>
              </w:rPr>
              <w:t>Sample wording</w:t>
            </w:r>
          </w:p>
        </w:tc>
        <w:tc>
          <w:tcPr>
            <w:tcW w:type="dxa" w:w="8064"/>
          </w:tcPr>
          <w:p>
            <w:r/>
            <w:r>
              <w:rPr>
                <w:rFonts w:ascii="Times New Roman" w:hAnsi="Times New Roman" w:cs="Times New Roman"/>
                <w:b w:val="0"/>
                <w:i w:val="0"/>
                <w:sz w:val="18"/>
                <w:u w:val="none"/>
              </w:rPr>
              <w:t>Except for Excluded Claims, each party's aggregate liability under this Agreement shall not exceed the Charges paid and payable by Customer in the twelve (12) months preceding the event giving rise to the liability. Excluded Claims means Customer's payment obligations, Customer's breach of Section 7 (Confidentiality) or Section 9 (Data Protection), and any indemnity obligation of Customer under Section 8.2.</w:t>
            </w:r>
          </w:p>
        </w:tc>
      </w:tr>
    </w:tbl>
    <w:p>
      <w:pPr/>
    </w:p>
    <w:p>
      <w:pPr>
        <w:spacing w:before="120" w:after="60" w:line="276" w:lineRule="auto"/>
      </w:pPr>
      <w:r>
        <w:rPr>
          <w:rFonts w:ascii="Times New Roman" w:hAnsi="Times New Roman" w:cs="Times New Roman"/>
          <w:b/>
          <w:i w:val="0"/>
          <w:sz w:val="21"/>
          <w:u w:val="none"/>
        </w:rPr>
        <w:t>P2. Indemnities given by Customer</w:t>
      </w:r>
    </w:p>
    <w:tbl>
      <w:tblPr>
        <w:tblStyle w:val="TableGrid"/>
        <w:tblW w:type="auto" w:w="0"/>
        <w:tblLook w:firstColumn="1" w:firstRow="1" w:lastColumn="0" w:lastRow="0" w:noHBand="0" w:noVBand="1" w:val="04A0"/>
      </w:tblPr>
      <w:tblGrid>
        <w:gridCol w:w="4680"/>
        <w:gridCol w:w="4680"/>
      </w:tblGrid>
      <w:tr>
        <w:tc>
          <w:tcPr>
            <w:tcW w:type="dxa" w:w="2160"/>
          </w:tcPr>
          <w:p>
            <w:r/>
            <w:r>
              <w:rPr>
                <w:rFonts w:ascii="Times New Roman" w:hAnsi="Times New Roman" w:cs="Times New Roman"/>
                <w:b/>
                <w:i w:val="0"/>
                <w:sz w:val="18"/>
                <w:u w:val="none"/>
              </w:rPr>
              <w:t>Field</w:t>
            </w:r>
          </w:p>
        </w:tc>
        <w:tc>
          <w:tcPr>
            <w:tcW w:type="dxa" w:w="8064"/>
          </w:tcPr>
          <w:p>
            <w:r/>
            <w:r>
              <w:rPr>
                <w:rFonts w:ascii="Times New Roman" w:hAnsi="Times New Roman" w:cs="Times New Roman"/>
                <w:b/>
                <w:i w:val="0"/>
                <w:sz w:val="18"/>
                <w:u w:val="none"/>
              </w:rPr>
              <w:t>Position</w:t>
            </w:r>
          </w:p>
        </w:tc>
      </w:tr>
      <w:tr>
        <w:tc>
          <w:tcPr>
            <w:tcW w:type="dxa" w:w="2160"/>
          </w:tcPr>
          <w:p>
            <w:r/>
            <w:r>
              <w:rPr>
                <w:rFonts w:ascii="Times New Roman" w:hAnsi="Times New Roman" w:cs="Times New Roman"/>
                <w:b w:val="0"/>
                <w:i w:val="0"/>
                <w:sz w:val="18"/>
                <w:u w:val="none"/>
              </w:rPr>
              <w:t>Ref</w:t>
            </w:r>
          </w:p>
        </w:tc>
        <w:tc>
          <w:tcPr>
            <w:tcW w:type="dxa" w:w="8064"/>
          </w:tcPr>
          <w:p>
            <w:r/>
            <w:r>
              <w:rPr>
                <w:rFonts w:ascii="Times New Roman" w:hAnsi="Times New Roman" w:cs="Times New Roman"/>
                <w:b w:val="0"/>
                <w:i w:val="0"/>
                <w:sz w:val="18"/>
                <w:u w:val="none"/>
              </w:rPr>
              <w:t>P2</w:t>
            </w:r>
          </w:p>
        </w:tc>
      </w:tr>
      <w:tr>
        <w:tc>
          <w:tcPr>
            <w:tcW w:type="dxa" w:w="2160"/>
          </w:tcPr>
          <w:p>
            <w:r/>
            <w:r>
              <w:rPr>
                <w:rFonts w:ascii="Times New Roman" w:hAnsi="Times New Roman" w:cs="Times New Roman"/>
                <w:b w:val="0"/>
                <w:i w:val="0"/>
                <w:sz w:val="18"/>
                <w:u w:val="none"/>
              </w:rPr>
              <w:t>Applies to</w:t>
            </w:r>
          </w:p>
        </w:tc>
        <w:tc>
          <w:tcPr>
            <w:tcW w:type="dxa" w:w="8064"/>
          </w:tcPr>
          <w:p>
            <w:r/>
            <w:r>
              <w:rPr>
                <w:rFonts w:ascii="Times New Roman" w:hAnsi="Times New Roman" w:cs="Times New Roman"/>
                <w:b w:val="0"/>
                <w:i w:val="0"/>
                <w:sz w:val="18"/>
                <w:u w:val="none"/>
              </w:rPr>
              <w:t>MSA, order form</w:t>
            </w:r>
          </w:p>
        </w:tc>
      </w:tr>
      <w:tr>
        <w:tc>
          <w:tcPr>
            <w:tcW w:type="dxa" w:w="2160"/>
          </w:tcPr>
          <w:p>
            <w:r/>
            <w:r>
              <w:rPr>
                <w:rFonts w:ascii="Times New Roman" w:hAnsi="Times New Roman" w:cs="Times New Roman"/>
                <w:b w:val="0"/>
                <w:i w:val="0"/>
                <w:sz w:val="18"/>
                <w:u w:val="none"/>
              </w:rPr>
              <w:t>Standard position</w:t>
            </w:r>
          </w:p>
        </w:tc>
        <w:tc>
          <w:tcPr>
            <w:tcW w:type="dxa" w:w="8064"/>
          </w:tcPr>
          <w:p>
            <w:r/>
            <w:r>
              <w:rPr>
                <w:rFonts w:ascii="Times New Roman" w:hAnsi="Times New Roman" w:cs="Times New Roman"/>
                <w:b w:val="0"/>
                <w:i w:val="0"/>
                <w:sz w:val="18"/>
                <w:u w:val="none"/>
              </w:rPr>
              <w:t>Customer indemnifies Northwind against third-party claims that Customer Data, or Customer's use of the Services in breach of the Acceptable Use Policy or the licence grant, infringes a third party's intellectual property rights, and against Customer's breach of Sections 7 and 9.</w:t>
            </w:r>
          </w:p>
        </w:tc>
      </w:tr>
      <w:tr>
        <w:tc>
          <w:tcPr>
            <w:tcW w:type="dxa" w:w="2160"/>
          </w:tcPr>
          <w:p>
            <w:r/>
            <w:r>
              <w:rPr>
                <w:rFonts w:ascii="Times New Roman" w:hAnsi="Times New Roman" w:cs="Times New Roman"/>
                <w:b w:val="0"/>
                <w:i w:val="0"/>
                <w:sz w:val="18"/>
                <w:u w:val="none"/>
              </w:rPr>
              <w:t>Fallback 1</w:t>
            </w:r>
          </w:p>
        </w:tc>
        <w:tc>
          <w:tcPr>
            <w:tcW w:type="dxa" w:w="8064"/>
          </w:tcPr>
          <w:p>
            <w:r/>
            <w:r>
              <w:rPr>
                <w:rFonts w:ascii="Times New Roman" w:hAnsi="Times New Roman" w:cs="Times New Roman"/>
                <w:b w:val="0"/>
                <w:i w:val="0"/>
                <w:sz w:val="18"/>
                <w:u w:val="none"/>
              </w:rPr>
              <w:t>Accept Customer's narrower indemnity limited to infringement by Customer Data as supplied, with our AUP and licence breaches carved back out.</w:t>
            </w:r>
          </w:p>
        </w:tc>
      </w:tr>
      <w:tr>
        <w:tc>
          <w:tcPr>
            <w:tcW w:type="dxa" w:w="2160"/>
          </w:tcPr>
          <w:p>
            <w:r/>
            <w:r>
              <w:rPr>
                <w:rFonts w:ascii="Times New Roman" w:hAnsi="Times New Roman" w:cs="Times New Roman"/>
                <w:b w:val="0"/>
                <w:i w:val="0"/>
                <w:sz w:val="18"/>
                <w:u w:val="none"/>
              </w:rPr>
              <w:t>Fallback 2</w:t>
            </w:r>
          </w:p>
        </w:tc>
        <w:tc>
          <w:tcPr>
            <w:tcW w:type="dxa" w:w="8064"/>
          </w:tcPr>
          <w:p>
            <w:r/>
            <w:r>
              <w:rPr>
                <w:rFonts w:ascii="Times New Roman" w:hAnsi="Times New Roman" w:cs="Times New Roman"/>
                <w:b w:val="0"/>
                <w:i w:val="0"/>
                <w:sz w:val="18"/>
                <w:u w:val="none"/>
              </w:rPr>
              <w:t>Accept a general Customer indemnity for breach of the Agreement, with defence and settlement conduct owned by Northwind.</w:t>
            </w:r>
          </w:p>
        </w:tc>
      </w:tr>
      <w:tr>
        <w:tc>
          <w:tcPr>
            <w:tcW w:type="dxa" w:w="2160"/>
          </w:tcPr>
          <w:p>
            <w:r/>
            <w:r>
              <w:rPr>
                <w:rFonts w:ascii="Times New Roman" w:hAnsi="Times New Roman" w:cs="Times New Roman"/>
                <w:b w:val="0"/>
                <w:i w:val="0"/>
                <w:sz w:val="18"/>
                <w:u w:val="none"/>
              </w:rPr>
              <w:t>Walk-away / red line</w:t>
            </w:r>
          </w:p>
        </w:tc>
        <w:tc>
          <w:tcPr>
            <w:tcW w:type="dxa" w:w="8064"/>
          </w:tcPr>
          <w:p>
            <w:r/>
            <w:r>
              <w:rPr>
                <w:rFonts w:ascii="Times New Roman" w:hAnsi="Times New Roman" w:cs="Times New Roman"/>
                <w:b w:val="0"/>
                <w:i w:val="0"/>
                <w:sz w:val="18"/>
                <w:u w:val="none"/>
              </w:rPr>
              <w:t>Any Customer indemnity that is qualified by 'to the extent caused by Northwind's breach'. That reverses the risk allocation and is not negotiable at any deal size.</w:t>
            </w:r>
          </w:p>
        </w:tc>
      </w:tr>
      <w:tr>
        <w:tc>
          <w:tcPr>
            <w:tcW w:type="dxa" w:w="2160"/>
          </w:tcPr>
          <w:p>
            <w:r/>
            <w:r>
              <w:rPr>
                <w:rFonts w:ascii="Times New Roman" w:hAnsi="Times New Roman" w:cs="Times New Roman"/>
                <w:b w:val="0"/>
                <w:i w:val="0"/>
                <w:sz w:val="18"/>
                <w:u w:val="none"/>
              </w:rPr>
              <w:t>Drafting note</w:t>
            </w:r>
          </w:p>
        </w:tc>
        <w:tc>
          <w:tcPr>
            <w:tcW w:type="dxa" w:w="8064"/>
          </w:tcPr>
          <w:p>
            <w:r/>
            <w:r>
              <w:rPr>
                <w:rFonts w:ascii="Times New Roman" w:hAnsi="Times New Roman" w:cs="Times New Roman"/>
                <w:b w:val="0"/>
                <w:i w:val="0"/>
                <w:sz w:val="18"/>
                <w:u w:val="none"/>
              </w:rPr>
              <w:t>Push for the standard 'indemnified party controls the defence' wording, with a consent-not-to-be-unreasonably-withheld standard on settlements that admit fault or impose an obligation on the indemnified party.</w:t>
            </w:r>
          </w:p>
        </w:tc>
      </w:tr>
      <w:tr>
        <w:tc>
          <w:tcPr>
            <w:tcW w:type="dxa" w:w="2160"/>
          </w:tcPr>
          <w:p>
            <w:r/>
            <w:r>
              <w:rPr>
                <w:rFonts w:ascii="Times New Roman" w:hAnsi="Times New Roman" w:cs="Times New Roman"/>
                <w:b w:val="0"/>
                <w:i w:val="0"/>
                <w:sz w:val="18"/>
                <w:u w:val="none"/>
              </w:rPr>
              <w:t>Sample wording</w:t>
            </w:r>
          </w:p>
        </w:tc>
        <w:tc>
          <w:tcPr>
            <w:tcW w:type="dxa" w:w="8064"/>
          </w:tcPr>
          <w:p>
            <w:r/>
            <w:r>
              <w:rPr>
                <w:rFonts w:ascii="Times New Roman" w:hAnsi="Times New Roman" w:cs="Times New Roman"/>
                <w:b w:val="0"/>
                <w:i w:val="0"/>
                <w:sz w:val="18"/>
                <w:u w:val="none"/>
              </w:rPr>
              <w:t>Customer shall defend Northwind against any third-party claim alleging that Customer Data, as provided by Customer and used in accordance with this Agreement, infringes that third party's intellectual property rights, and shall indemnify Northwind against damages and reasonable costs finally awarded or agreed in settlement.</w:t>
            </w:r>
          </w:p>
        </w:tc>
      </w:tr>
    </w:tbl>
    <w:p>
      <w:pPr/>
    </w:p>
    <w:p>
      <w:pPr>
        <w:spacing w:before="120" w:after="60" w:line="276" w:lineRule="auto"/>
      </w:pPr>
      <w:r>
        <w:rPr>
          <w:rFonts w:ascii="Times New Roman" w:hAnsi="Times New Roman" w:cs="Times New Roman"/>
          <w:b/>
          <w:i w:val="0"/>
          <w:sz w:val="21"/>
          <w:u w:val="none"/>
        </w:rPr>
        <w:t>P3. Supplier IP indemnity</w:t>
      </w:r>
    </w:p>
    <w:tbl>
      <w:tblPr>
        <w:tblStyle w:val="TableGrid"/>
        <w:tblW w:type="auto" w:w="0"/>
        <w:tblLook w:firstColumn="1" w:firstRow="1" w:lastColumn="0" w:lastRow="0" w:noHBand="0" w:noVBand="1" w:val="04A0"/>
      </w:tblPr>
      <w:tblGrid>
        <w:gridCol w:w="4680"/>
        <w:gridCol w:w="4680"/>
      </w:tblGrid>
      <w:tr>
        <w:tc>
          <w:tcPr>
            <w:tcW w:type="dxa" w:w="2160"/>
          </w:tcPr>
          <w:p>
            <w:r/>
            <w:r>
              <w:rPr>
                <w:rFonts w:ascii="Times New Roman" w:hAnsi="Times New Roman" w:cs="Times New Roman"/>
                <w:b/>
                <w:i w:val="0"/>
                <w:sz w:val="18"/>
                <w:u w:val="none"/>
              </w:rPr>
              <w:t>Field</w:t>
            </w:r>
          </w:p>
        </w:tc>
        <w:tc>
          <w:tcPr>
            <w:tcW w:type="dxa" w:w="8064"/>
          </w:tcPr>
          <w:p>
            <w:r/>
            <w:r>
              <w:rPr>
                <w:rFonts w:ascii="Times New Roman" w:hAnsi="Times New Roman" w:cs="Times New Roman"/>
                <w:b/>
                <w:i w:val="0"/>
                <w:sz w:val="18"/>
                <w:u w:val="none"/>
              </w:rPr>
              <w:t>Position</w:t>
            </w:r>
          </w:p>
        </w:tc>
      </w:tr>
      <w:tr>
        <w:tc>
          <w:tcPr>
            <w:tcW w:type="dxa" w:w="2160"/>
          </w:tcPr>
          <w:p>
            <w:r/>
            <w:r>
              <w:rPr>
                <w:rFonts w:ascii="Times New Roman" w:hAnsi="Times New Roman" w:cs="Times New Roman"/>
                <w:b w:val="0"/>
                <w:i w:val="0"/>
                <w:sz w:val="18"/>
                <w:u w:val="none"/>
              </w:rPr>
              <w:t>Ref</w:t>
            </w:r>
          </w:p>
        </w:tc>
        <w:tc>
          <w:tcPr>
            <w:tcW w:type="dxa" w:w="8064"/>
          </w:tcPr>
          <w:p>
            <w:r/>
            <w:r>
              <w:rPr>
                <w:rFonts w:ascii="Times New Roman" w:hAnsi="Times New Roman" w:cs="Times New Roman"/>
                <w:b w:val="0"/>
                <w:i w:val="0"/>
                <w:sz w:val="18"/>
                <w:u w:val="none"/>
              </w:rPr>
              <w:t>P3</w:t>
            </w:r>
          </w:p>
        </w:tc>
      </w:tr>
      <w:tr>
        <w:tc>
          <w:tcPr>
            <w:tcW w:type="dxa" w:w="2160"/>
          </w:tcPr>
          <w:p>
            <w:r/>
            <w:r>
              <w:rPr>
                <w:rFonts w:ascii="Times New Roman" w:hAnsi="Times New Roman" w:cs="Times New Roman"/>
                <w:b w:val="0"/>
                <w:i w:val="0"/>
                <w:sz w:val="18"/>
                <w:u w:val="none"/>
              </w:rPr>
              <w:t>Applies to</w:t>
            </w:r>
          </w:p>
        </w:tc>
        <w:tc>
          <w:tcPr>
            <w:tcW w:type="dxa" w:w="8064"/>
          </w:tcPr>
          <w:p>
            <w:r/>
            <w:r>
              <w:rPr>
                <w:rFonts w:ascii="Times New Roman" w:hAnsi="Times New Roman" w:cs="Times New Roman"/>
                <w:b w:val="0"/>
                <w:i w:val="0"/>
                <w:sz w:val="18"/>
                <w:u w:val="none"/>
              </w:rPr>
              <w:t>MSA, order form</w:t>
            </w:r>
          </w:p>
        </w:tc>
      </w:tr>
      <w:tr>
        <w:tc>
          <w:tcPr>
            <w:tcW w:type="dxa" w:w="2160"/>
          </w:tcPr>
          <w:p>
            <w:r/>
            <w:r>
              <w:rPr>
                <w:rFonts w:ascii="Times New Roman" w:hAnsi="Times New Roman" w:cs="Times New Roman"/>
                <w:b w:val="0"/>
                <w:i w:val="0"/>
                <w:sz w:val="18"/>
                <w:u w:val="none"/>
              </w:rPr>
              <w:t>Standard position</w:t>
            </w:r>
          </w:p>
        </w:tc>
        <w:tc>
          <w:tcPr>
            <w:tcW w:type="dxa" w:w="8064"/>
          </w:tcPr>
          <w:p>
            <w:r/>
            <w:r>
              <w:rPr>
                <w:rFonts w:ascii="Times New Roman" w:hAnsi="Times New Roman" w:cs="Times New Roman"/>
                <w:b w:val="0"/>
                <w:i w:val="0"/>
                <w:sz w:val="18"/>
                <w:u w:val="none"/>
              </w:rPr>
              <w:t>Northwind defends Customer against third-party claims that the Services (excluding Customer Data and Customer-specific configurations) infringe a third party's intellectual property rights, and pays damages finally awarded or agreed in settlement.</w:t>
            </w:r>
          </w:p>
        </w:tc>
      </w:tr>
      <w:tr>
        <w:tc>
          <w:tcPr>
            <w:tcW w:type="dxa" w:w="2160"/>
          </w:tcPr>
          <w:p>
            <w:r/>
            <w:r>
              <w:rPr>
                <w:rFonts w:ascii="Times New Roman" w:hAnsi="Times New Roman" w:cs="Times New Roman"/>
                <w:b w:val="0"/>
                <w:i w:val="0"/>
                <w:sz w:val="18"/>
                <w:u w:val="none"/>
              </w:rPr>
              <w:t>Fallback 1</w:t>
            </w:r>
          </w:p>
        </w:tc>
        <w:tc>
          <w:tcPr>
            <w:tcW w:type="dxa" w:w="8064"/>
          </w:tcPr>
          <w:p>
            <w:r/>
            <w:r>
              <w:rPr>
                <w:rFonts w:ascii="Times New Roman" w:hAnsi="Times New Roman" w:cs="Times New Roman"/>
                <w:b w:val="0"/>
                <w:i w:val="0"/>
                <w:sz w:val="18"/>
                <w:u w:val="none"/>
              </w:rPr>
              <w:t>Accept the same indemnity with our standard exclusions for combination, modification, use outside the documentation, and Customer's continued use after notice of a non-infringing alternative.</w:t>
            </w:r>
          </w:p>
        </w:tc>
      </w:tr>
      <w:tr>
        <w:tc>
          <w:tcPr>
            <w:tcW w:type="dxa" w:w="2160"/>
          </w:tcPr>
          <w:p>
            <w:r/>
            <w:r>
              <w:rPr>
                <w:rFonts w:ascii="Times New Roman" w:hAnsi="Times New Roman" w:cs="Times New Roman"/>
                <w:b w:val="0"/>
                <w:i w:val="0"/>
                <w:sz w:val="18"/>
                <w:u w:val="none"/>
              </w:rPr>
              <w:t>Fallback 2</w:t>
            </w:r>
          </w:p>
        </w:tc>
        <w:tc>
          <w:tcPr>
            <w:tcW w:type="dxa" w:w="8064"/>
          </w:tcPr>
          <w:p>
            <w:r/>
            <w:r>
              <w:rPr>
                <w:rFonts w:ascii="Times New Roman" w:hAnsi="Times New Roman" w:cs="Times New Roman"/>
                <w:b w:val="0"/>
                <w:i w:val="0"/>
                <w:sz w:val="18"/>
                <w:u w:val="none"/>
              </w:rPr>
              <w:t>Accept the indemnity with a cap at 3x the fees paid in the preceding 12 months, as a separate cap from the general liability cap.</w:t>
            </w:r>
          </w:p>
        </w:tc>
      </w:tr>
      <w:tr>
        <w:tc>
          <w:tcPr>
            <w:tcW w:type="dxa" w:w="2160"/>
          </w:tcPr>
          <w:p>
            <w:r/>
            <w:r>
              <w:rPr>
                <w:rFonts w:ascii="Times New Roman" w:hAnsi="Times New Roman" w:cs="Times New Roman"/>
                <w:b w:val="0"/>
                <w:i w:val="0"/>
                <w:sz w:val="18"/>
                <w:u w:val="none"/>
              </w:rPr>
              <w:t>Walk-away / red line</w:t>
            </w:r>
          </w:p>
        </w:tc>
        <w:tc>
          <w:tcPr>
            <w:tcW w:type="dxa" w:w="8064"/>
          </w:tcPr>
          <w:p>
            <w:r/>
            <w:r>
              <w:rPr>
                <w:rFonts w:ascii="Times New Roman" w:hAnsi="Times New Roman" w:cs="Times New Roman"/>
                <w:b w:val="0"/>
                <w:i w:val="0"/>
                <w:sz w:val="18"/>
                <w:u w:val="none"/>
              </w:rPr>
              <w:t>No supplier indemnity at all. Also no indemnity where the claim arises from our compliance with a specification Customer supplied.</w:t>
            </w:r>
          </w:p>
        </w:tc>
      </w:tr>
      <w:tr>
        <w:tc>
          <w:tcPr>
            <w:tcW w:type="dxa" w:w="2160"/>
          </w:tcPr>
          <w:p>
            <w:r/>
            <w:r>
              <w:rPr>
                <w:rFonts w:ascii="Times New Roman" w:hAnsi="Times New Roman" w:cs="Times New Roman"/>
                <w:b w:val="0"/>
                <w:i w:val="0"/>
                <w:sz w:val="18"/>
                <w:u w:val="none"/>
              </w:rPr>
              <w:t>Drafting note</w:t>
            </w:r>
          </w:p>
        </w:tc>
        <w:tc>
          <w:tcPr>
            <w:tcW w:type="dxa" w:w="8064"/>
          </w:tcPr>
          <w:p>
            <w:r/>
            <w:r>
              <w:rPr>
                <w:rFonts w:ascii="Times New Roman" w:hAnsi="Times New Roman" w:cs="Times New Roman"/>
                <w:b w:val="0"/>
                <w:i w:val="0"/>
                <w:sz w:val="18"/>
                <w:u w:val="none"/>
              </w:rPr>
              <w:t>Our IP indemnity is the main thing a customer's procurement team is buying. Protect it even when conceding elsewhere. The remedy ladder – modify, procure, refund – must be present in the same clause; without it the indemnity is unenforceable in practice.</w:t>
            </w:r>
          </w:p>
        </w:tc>
      </w:tr>
      <w:tr>
        <w:tc>
          <w:tcPr>
            <w:tcW w:type="dxa" w:w="2160"/>
          </w:tcPr>
          <w:p>
            <w:r/>
            <w:r>
              <w:rPr>
                <w:rFonts w:ascii="Times New Roman" w:hAnsi="Times New Roman" w:cs="Times New Roman"/>
                <w:b w:val="0"/>
                <w:i w:val="0"/>
                <w:sz w:val="18"/>
                <w:u w:val="none"/>
              </w:rPr>
              <w:t>Sample wording</w:t>
            </w:r>
          </w:p>
        </w:tc>
        <w:tc>
          <w:tcPr>
            <w:tcW w:type="dxa" w:w="8064"/>
          </w:tcPr>
          <w:p>
            <w:r/>
            <w:r>
              <w:rPr>
                <w:rFonts w:ascii="Times New Roman" w:hAnsi="Times New Roman" w:cs="Times New Roman"/>
                <w:b w:val="0"/>
                <w:i w:val="0"/>
                <w:sz w:val="18"/>
                <w:u w:val="none"/>
              </w:rPr>
              <w:t>Northwind shall defend Customer against any third-party claim that the Services, excluding Customer Data, infringe a third party's patent, copyright, trademark or trade secret rights, and shall pay any damages finally awarded or any amount agreed in settlement of that claim. If the Services become the subject of an infringement claim, Northwind may, at its option, modify the Services so they are non-infringing without material loss of functionality, procure the right for Customer to continue use, or terminate the affected Order Form and refund the prepaid Charges for the unused portion of the term.</w:t>
            </w:r>
          </w:p>
        </w:tc>
      </w:tr>
    </w:tbl>
    <w:p>
      <w:pPr/>
    </w:p>
    <w:p>
      <w:pPr>
        <w:spacing w:before="120" w:after="60" w:line="276" w:lineRule="auto"/>
      </w:pPr>
      <w:r>
        <w:rPr>
          <w:rFonts w:ascii="Times New Roman" w:hAnsi="Times New Roman" w:cs="Times New Roman"/>
          <w:b/>
          <w:i w:val="0"/>
          <w:sz w:val="21"/>
          <w:u w:val="none"/>
        </w:rPr>
        <w:t>P4. Warranties and implied warranty disclaimer</w:t>
      </w:r>
    </w:p>
    <w:tbl>
      <w:tblPr>
        <w:tblStyle w:val="TableGrid"/>
        <w:tblW w:type="auto" w:w="0"/>
        <w:tblLook w:firstColumn="1" w:firstRow="1" w:lastColumn="0" w:lastRow="0" w:noHBand="0" w:noVBand="1" w:val="04A0"/>
      </w:tblPr>
      <w:tblGrid>
        <w:gridCol w:w="4680"/>
        <w:gridCol w:w="4680"/>
      </w:tblGrid>
      <w:tr>
        <w:tc>
          <w:tcPr>
            <w:tcW w:type="dxa" w:w="2160"/>
          </w:tcPr>
          <w:p>
            <w:r/>
            <w:r>
              <w:rPr>
                <w:rFonts w:ascii="Times New Roman" w:hAnsi="Times New Roman" w:cs="Times New Roman"/>
                <w:b/>
                <w:i w:val="0"/>
                <w:sz w:val="18"/>
                <w:u w:val="none"/>
              </w:rPr>
              <w:t>Field</w:t>
            </w:r>
          </w:p>
        </w:tc>
        <w:tc>
          <w:tcPr>
            <w:tcW w:type="dxa" w:w="8064"/>
          </w:tcPr>
          <w:p>
            <w:r/>
            <w:r>
              <w:rPr>
                <w:rFonts w:ascii="Times New Roman" w:hAnsi="Times New Roman" w:cs="Times New Roman"/>
                <w:b/>
                <w:i w:val="0"/>
                <w:sz w:val="18"/>
                <w:u w:val="none"/>
              </w:rPr>
              <w:t>Position</w:t>
            </w:r>
          </w:p>
        </w:tc>
      </w:tr>
      <w:tr>
        <w:tc>
          <w:tcPr>
            <w:tcW w:type="dxa" w:w="2160"/>
          </w:tcPr>
          <w:p>
            <w:r/>
            <w:r>
              <w:rPr>
                <w:rFonts w:ascii="Times New Roman" w:hAnsi="Times New Roman" w:cs="Times New Roman"/>
                <w:b w:val="0"/>
                <w:i w:val="0"/>
                <w:sz w:val="18"/>
                <w:u w:val="none"/>
              </w:rPr>
              <w:t>Ref</w:t>
            </w:r>
          </w:p>
        </w:tc>
        <w:tc>
          <w:tcPr>
            <w:tcW w:type="dxa" w:w="8064"/>
          </w:tcPr>
          <w:p>
            <w:r/>
            <w:r>
              <w:rPr>
                <w:rFonts w:ascii="Times New Roman" w:hAnsi="Times New Roman" w:cs="Times New Roman"/>
                <w:b w:val="0"/>
                <w:i w:val="0"/>
                <w:sz w:val="18"/>
                <w:u w:val="none"/>
              </w:rPr>
              <w:t>P4</w:t>
            </w:r>
          </w:p>
        </w:tc>
      </w:tr>
      <w:tr>
        <w:tc>
          <w:tcPr>
            <w:tcW w:type="dxa" w:w="2160"/>
          </w:tcPr>
          <w:p>
            <w:r/>
            <w:r>
              <w:rPr>
                <w:rFonts w:ascii="Times New Roman" w:hAnsi="Times New Roman" w:cs="Times New Roman"/>
                <w:b w:val="0"/>
                <w:i w:val="0"/>
                <w:sz w:val="18"/>
                <w:u w:val="none"/>
              </w:rPr>
              <w:t>Applies to</w:t>
            </w:r>
          </w:p>
        </w:tc>
        <w:tc>
          <w:tcPr>
            <w:tcW w:type="dxa" w:w="8064"/>
          </w:tcPr>
          <w:p>
            <w:r/>
            <w:r>
              <w:rPr>
                <w:rFonts w:ascii="Times New Roman" w:hAnsi="Times New Roman" w:cs="Times New Roman"/>
                <w:b w:val="0"/>
                <w:i w:val="0"/>
                <w:sz w:val="18"/>
                <w:u w:val="none"/>
              </w:rPr>
              <w:t>MSA, order form</w:t>
            </w:r>
          </w:p>
        </w:tc>
      </w:tr>
      <w:tr>
        <w:tc>
          <w:tcPr>
            <w:tcW w:type="dxa" w:w="2160"/>
          </w:tcPr>
          <w:p>
            <w:r/>
            <w:r>
              <w:rPr>
                <w:rFonts w:ascii="Times New Roman" w:hAnsi="Times New Roman" w:cs="Times New Roman"/>
                <w:b w:val="0"/>
                <w:i w:val="0"/>
                <w:sz w:val="18"/>
                <w:u w:val="none"/>
              </w:rPr>
              <w:t>Standard position</w:t>
            </w:r>
          </w:p>
        </w:tc>
        <w:tc>
          <w:tcPr>
            <w:tcW w:type="dxa" w:w="8064"/>
          </w:tcPr>
          <w:p>
            <w:r/>
            <w:r>
              <w:rPr>
                <w:rFonts w:ascii="Times New Roman" w:hAnsi="Times New Roman" w:cs="Times New Roman"/>
                <w:b w:val="0"/>
                <w:i w:val="0"/>
                <w:sz w:val="18"/>
                <w:u w:val="none"/>
              </w:rPr>
              <w:t>Each party warrants it has authority to enter into the Agreement. Northwind warrants the Services will perform materially in accordance with the documentation for the applicable Subscription Term, and that it will provide the Services with reasonable skill and care and in accordance with applicable law. All implied warranties, including merchantability, fitness for purpose and non-infringement, are disclaimed to the maximum extent permitted by law.</w:t>
            </w:r>
          </w:p>
        </w:tc>
      </w:tr>
      <w:tr>
        <w:tc>
          <w:tcPr>
            <w:tcW w:type="dxa" w:w="2160"/>
          </w:tcPr>
          <w:p>
            <w:r/>
            <w:r>
              <w:rPr>
                <w:rFonts w:ascii="Times New Roman" w:hAnsi="Times New Roman" w:cs="Times New Roman"/>
                <w:b w:val="0"/>
                <w:i w:val="0"/>
                <w:sz w:val="18"/>
                <w:u w:val="none"/>
              </w:rPr>
              <w:t>Fallback 1</w:t>
            </w:r>
          </w:p>
        </w:tc>
        <w:tc>
          <w:tcPr>
            <w:tcW w:type="dxa" w:w="8064"/>
          </w:tcPr>
          <w:p>
            <w:r/>
            <w:r>
              <w:rPr>
                <w:rFonts w:ascii="Times New Roman" w:hAnsi="Times New Roman" w:cs="Times New Roman"/>
                <w:b w:val="0"/>
                <w:i w:val="0"/>
                <w:sz w:val="18"/>
                <w:u w:val="none"/>
              </w:rPr>
              <w:t>Accept a short express warranty period of 60 days from delivery of a release for defects only, with the general disclaimer of implied warranties retained.</w:t>
            </w:r>
          </w:p>
        </w:tc>
      </w:tr>
      <w:tr>
        <w:tc>
          <w:tcPr>
            <w:tcW w:type="dxa" w:w="2160"/>
          </w:tcPr>
          <w:p>
            <w:r/>
            <w:r>
              <w:rPr>
                <w:rFonts w:ascii="Times New Roman" w:hAnsi="Times New Roman" w:cs="Times New Roman"/>
                <w:b w:val="0"/>
                <w:i w:val="0"/>
                <w:sz w:val="18"/>
                <w:u w:val="none"/>
              </w:rPr>
              <w:t>Fallback 2</w:t>
            </w:r>
          </w:p>
        </w:tc>
        <w:tc>
          <w:tcPr>
            <w:tcW w:type="dxa" w:w="8064"/>
          </w:tcPr>
          <w:p>
            <w:r/>
            <w:r>
              <w:rPr>
                <w:rFonts w:ascii="Times New Roman" w:hAnsi="Times New Roman" w:cs="Times New Roman"/>
                <w:b w:val="0"/>
                <w:i w:val="0"/>
                <w:sz w:val="18"/>
                <w:u w:val="none"/>
              </w:rPr>
              <w:t>Accept a 90-day conformity warranty limited to a repeat of the failed functionality, with no refund or service termination remedy.</w:t>
            </w:r>
          </w:p>
        </w:tc>
      </w:tr>
      <w:tr>
        <w:tc>
          <w:tcPr>
            <w:tcW w:type="dxa" w:w="2160"/>
          </w:tcPr>
          <w:p>
            <w:r/>
            <w:r>
              <w:rPr>
                <w:rFonts w:ascii="Times New Roman" w:hAnsi="Times New Roman" w:cs="Times New Roman"/>
                <w:b w:val="0"/>
                <w:i w:val="0"/>
                <w:sz w:val="18"/>
                <w:u w:val="none"/>
              </w:rPr>
              <w:t>Walk-away / red line</w:t>
            </w:r>
          </w:p>
        </w:tc>
        <w:tc>
          <w:tcPr>
            <w:tcW w:type="dxa" w:w="8064"/>
          </w:tcPr>
          <w:p>
            <w:r/>
            <w:r>
              <w:rPr>
                <w:rFonts w:ascii="Times New Roman" w:hAnsi="Times New Roman" w:cs="Times New Roman"/>
                <w:b w:val="0"/>
                <w:i w:val="0"/>
                <w:sz w:val="18"/>
                <w:u w:val="none"/>
              </w:rPr>
              <w:t>Any customer warranty longer than 90 days, any warranty of 'error-free' operation or zero defects, or any warranty that the Services will meet the customer's particular business requirements. Those are service-level commitments dressed as warranties.</w:t>
            </w:r>
          </w:p>
        </w:tc>
      </w:tr>
      <w:tr>
        <w:tc>
          <w:tcPr>
            <w:tcW w:type="dxa" w:w="2160"/>
          </w:tcPr>
          <w:p>
            <w:r/>
            <w:r>
              <w:rPr>
                <w:rFonts w:ascii="Times New Roman" w:hAnsi="Times New Roman" w:cs="Times New Roman"/>
                <w:b w:val="0"/>
                <w:i w:val="0"/>
                <w:sz w:val="18"/>
                <w:u w:val="none"/>
              </w:rPr>
              <w:t>Drafting note</w:t>
            </w:r>
          </w:p>
        </w:tc>
        <w:tc>
          <w:tcPr>
            <w:tcW w:type="dxa" w:w="8064"/>
          </w:tcPr>
          <w:p>
            <w:r/>
            <w:r>
              <w:rPr>
                <w:rFonts w:ascii="Times New Roman" w:hAnsi="Times New Roman" w:cs="Times New Roman"/>
                <w:b w:val="0"/>
                <w:i w:val="0"/>
                <w:sz w:val="18"/>
                <w:u w:val="none"/>
              </w:rPr>
              <w:t>Keep the documentation-performance warranty and the service credit regime separate. If a customer merges the two, a service level breach can become a warranty claim with different remedies.</w:t>
            </w:r>
          </w:p>
        </w:tc>
      </w:tr>
      <w:tr>
        <w:tc>
          <w:tcPr>
            <w:tcW w:type="dxa" w:w="2160"/>
          </w:tcPr>
          <w:p>
            <w:r/>
            <w:r>
              <w:rPr>
                <w:rFonts w:ascii="Times New Roman" w:hAnsi="Times New Roman" w:cs="Times New Roman"/>
                <w:b w:val="0"/>
                <w:i w:val="0"/>
                <w:sz w:val="18"/>
                <w:u w:val="none"/>
              </w:rPr>
              <w:t>Sample wording</w:t>
            </w:r>
          </w:p>
        </w:tc>
        <w:tc>
          <w:tcPr>
            <w:tcW w:type="dxa" w:w="8064"/>
          </w:tcPr>
          <w:p>
            <w:r/>
            <w:r>
              <w:rPr>
                <w:rFonts w:ascii="Times New Roman" w:hAnsi="Times New Roman" w:cs="Times New Roman"/>
                <w:b w:val="0"/>
                <w:i w:val="0"/>
                <w:sz w:val="18"/>
                <w:u w:val="none"/>
              </w:rPr>
              <w:t>Northwind warrants that, during the Subscription Term, the Services will perform materially in accordance with the applicable Documentation. Northwind's sole obligation for breach of this warranty is to use commercially reasonable efforts to correct the non-conformity. EXCEPT AS EXPRESSLY SET OUT IN THIS AGREEMENT, NORTHWIND DISCLAIMS ALL OTHER WARRANTIES, EXPRESS OR IMPLIED, INCLUDING THE IMPLIED WARRANTIES OF MERCHANTABILITY, FITNESS FOR A PARTICULAR PURPOSE AND NON-INFRINGEMENT.</w:t>
            </w:r>
          </w:p>
        </w:tc>
      </w:tr>
    </w:tbl>
    <w:p>
      <w:pPr/>
    </w:p>
    <w:p>
      <w:pPr>
        <w:spacing w:before="120" w:after="60" w:line="276" w:lineRule="auto"/>
      </w:pPr>
      <w:r>
        <w:rPr>
          <w:rFonts w:ascii="Times New Roman" w:hAnsi="Times New Roman" w:cs="Times New Roman"/>
          <w:b/>
          <w:i w:val="0"/>
          <w:sz w:val="21"/>
          <w:u w:val="none"/>
        </w:rPr>
        <w:t>P5. Service levels and service credits</w:t>
      </w:r>
    </w:p>
    <w:tbl>
      <w:tblPr>
        <w:tblStyle w:val="TableGrid"/>
        <w:tblW w:type="auto" w:w="0"/>
        <w:tblLook w:firstColumn="1" w:firstRow="1" w:lastColumn="0" w:lastRow="0" w:noHBand="0" w:noVBand="1" w:val="04A0"/>
      </w:tblPr>
      <w:tblGrid>
        <w:gridCol w:w="4680"/>
        <w:gridCol w:w="4680"/>
      </w:tblGrid>
      <w:tr>
        <w:tc>
          <w:tcPr>
            <w:tcW w:type="dxa" w:w="2160"/>
          </w:tcPr>
          <w:p>
            <w:r/>
            <w:r>
              <w:rPr>
                <w:rFonts w:ascii="Times New Roman" w:hAnsi="Times New Roman" w:cs="Times New Roman"/>
                <w:b/>
                <w:i w:val="0"/>
                <w:sz w:val="18"/>
                <w:u w:val="none"/>
              </w:rPr>
              <w:t>Field</w:t>
            </w:r>
          </w:p>
        </w:tc>
        <w:tc>
          <w:tcPr>
            <w:tcW w:type="dxa" w:w="8064"/>
          </w:tcPr>
          <w:p>
            <w:r/>
            <w:r>
              <w:rPr>
                <w:rFonts w:ascii="Times New Roman" w:hAnsi="Times New Roman" w:cs="Times New Roman"/>
                <w:b/>
                <w:i w:val="0"/>
                <w:sz w:val="18"/>
                <w:u w:val="none"/>
              </w:rPr>
              <w:t>Position</w:t>
            </w:r>
          </w:p>
        </w:tc>
      </w:tr>
      <w:tr>
        <w:tc>
          <w:tcPr>
            <w:tcW w:type="dxa" w:w="2160"/>
          </w:tcPr>
          <w:p>
            <w:r/>
            <w:r>
              <w:rPr>
                <w:rFonts w:ascii="Times New Roman" w:hAnsi="Times New Roman" w:cs="Times New Roman"/>
                <w:b w:val="0"/>
                <w:i w:val="0"/>
                <w:sz w:val="18"/>
                <w:u w:val="none"/>
              </w:rPr>
              <w:t>Ref</w:t>
            </w:r>
          </w:p>
        </w:tc>
        <w:tc>
          <w:tcPr>
            <w:tcW w:type="dxa" w:w="8064"/>
          </w:tcPr>
          <w:p>
            <w:r/>
            <w:r>
              <w:rPr>
                <w:rFonts w:ascii="Times New Roman" w:hAnsi="Times New Roman" w:cs="Times New Roman"/>
                <w:b w:val="0"/>
                <w:i w:val="0"/>
                <w:sz w:val="18"/>
                <w:u w:val="none"/>
              </w:rPr>
              <w:t>P5</w:t>
            </w:r>
          </w:p>
        </w:tc>
      </w:tr>
      <w:tr>
        <w:tc>
          <w:tcPr>
            <w:tcW w:type="dxa" w:w="2160"/>
          </w:tcPr>
          <w:p>
            <w:r/>
            <w:r>
              <w:rPr>
                <w:rFonts w:ascii="Times New Roman" w:hAnsi="Times New Roman" w:cs="Times New Roman"/>
                <w:b w:val="0"/>
                <w:i w:val="0"/>
                <w:sz w:val="18"/>
                <w:u w:val="none"/>
              </w:rPr>
              <w:t>Applies to</w:t>
            </w:r>
          </w:p>
        </w:tc>
        <w:tc>
          <w:tcPr>
            <w:tcW w:type="dxa" w:w="8064"/>
          </w:tcPr>
          <w:p>
            <w:r/>
            <w:r>
              <w:rPr>
                <w:rFonts w:ascii="Times New Roman" w:hAnsi="Times New Roman" w:cs="Times New Roman"/>
                <w:b w:val="0"/>
                <w:i w:val="0"/>
                <w:sz w:val="18"/>
                <w:u w:val="none"/>
              </w:rPr>
              <w:t>MSA, order form</w:t>
            </w:r>
          </w:p>
        </w:tc>
      </w:tr>
      <w:tr>
        <w:tc>
          <w:tcPr>
            <w:tcW w:type="dxa" w:w="2160"/>
          </w:tcPr>
          <w:p>
            <w:r/>
            <w:r>
              <w:rPr>
                <w:rFonts w:ascii="Times New Roman" w:hAnsi="Times New Roman" w:cs="Times New Roman"/>
                <w:b w:val="0"/>
                <w:i w:val="0"/>
                <w:sz w:val="18"/>
                <w:u w:val="none"/>
              </w:rPr>
              <w:t>Standard position</w:t>
            </w:r>
          </w:p>
        </w:tc>
        <w:tc>
          <w:tcPr>
            <w:tcW w:type="dxa" w:w="8064"/>
          </w:tcPr>
          <w:p>
            <w:r/>
            <w:r>
              <w:rPr>
                <w:rFonts w:ascii="Times New Roman" w:hAnsi="Times New Roman" w:cs="Times New Roman"/>
                <w:b w:val="0"/>
                <w:i w:val="0"/>
                <w:sz w:val="18"/>
                <w:u w:val="none"/>
              </w:rPr>
              <w:t>Availability commitment of 99.9% monthly uptime measured at the production service endpoint, excluding scheduled maintenance notified at least 72 hours in advance and events caused by Customer or Customer's third-party network. Service credits are the sole and exclusive remedy for availability failure, calculated per the credit table in the Order Form, and aggregate to no more than 15% of monthly fees in any calendar month.</w:t>
            </w:r>
          </w:p>
        </w:tc>
      </w:tr>
      <w:tr>
        <w:tc>
          <w:tcPr>
            <w:tcW w:type="dxa" w:w="2160"/>
          </w:tcPr>
          <w:p>
            <w:r/>
            <w:r>
              <w:rPr>
                <w:rFonts w:ascii="Times New Roman" w:hAnsi="Times New Roman" w:cs="Times New Roman"/>
                <w:b w:val="0"/>
                <w:i w:val="0"/>
                <w:sz w:val="18"/>
                <w:u w:val="none"/>
              </w:rPr>
              <w:t>Fallback 1</w:t>
            </w:r>
          </w:p>
        </w:tc>
        <w:tc>
          <w:tcPr>
            <w:tcW w:type="dxa" w:w="8064"/>
          </w:tcPr>
          <w:p>
            <w:r/>
            <w:r>
              <w:rPr>
                <w:rFonts w:ascii="Times New Roman" w:hAnsi="Times New Roman" w:cs="Times New Roman"/>
                <w:b w:val="0"/>
                <w:i w:val="0"/>
                <w:sz w:val="18"/>
                <w:u w:val="none"/>
              </w:rPr>
              <w:t>Accept 99.5% uptime with a credit ladder topping out at 20% of monthly fees.</w:t>
            </w:r>
          </w:p>
        </w:tc>
      </w:tr>
      <w:tr>
        <w:tc>
          <w:tcPr>
            <w:tcW w:type="dxa" w:w="2160"/>
          </w:tcPr>
          <w:p>
            <w:r/>
            <w:r>
              <w:rPr>
                <w:rFonts w:ascii="Times New Roman" w:hAnsi="Times New Roman" w:cs="Times New Roman"/>
                <w:b w:val="0"/>
                <w:i w:val="0"/>
                <w:sz w:val="18"/>
                <w:u w:val="none"/>
              </w:rPr>
              <w:t>Fallback 2</w:t>
            </w:r>
          </w:p>
        </w:tc>
        <w:tc>
          <w:tcPr>
            <w:tcW w:type="dxa" w:w="8064"/>
          </w:tcPr>
          <w:p>
            <w:r/>
            <w:r>
              <w:rPr>
                <w:rFonts w:ascii="Times New Roman" w:hAnsi="Times New Roman" w:cs="Times New Roman"/>
                <w:b w:val="0"/>
                <w:i w:val="0"/>
                <w:sz w:val="18"/>
                <w:u w:val="none"/>
              </w:rPr>
              <w:t>Accept credits expressed as a percentage of the affected subscription fee only, excluding professional services and overage, and add a chronic failure termination trigger at three consecutive months below target.</w:t>
            </w:r>
          </w:p>
        </w:tc>
      </w:tr>
      <w:tr>
        <w:tc>
          <w:tcPr>
            <w:tcW w:type="dxa" w:w="2160"/>
          </w:tcPr>
          <w:p>
            <w:r/>
            <w:r>
              <w:rPr>
                <w:rFonts w:ascii="Times New Roman" w:hAnsi="Times New Roman" w:cs="Times New Roman"/>
                <w:b w:val="0"/>
                <w:i w:val="0"/>
                <w:sz w:val="18"/>
                <w:u w:val="none"/>
              </w:rPr>
              <w:t>Walk-away / red line</w:t>
            </w:r>
          </w:p>
        </w:tc>
        <w:tc>
          <w:tcPr>
            <w:tcW w:type="dxa" w:w="8064"/>
          </w:tcPr>
          <w:p>
            <w:r/>
            <w:r>
              <w:rPr>
                <w:rFonts w:ascii="Times New Roman" w:hAnsi="Times New Roman" w:cs="Times New Roman"/>
                <w:b w:val="0"/>
                <w:i w:val="0"/>
                <w:sz w:val="18"/>
                <w:u w:val="none"/>
              </w:rPr>
              <w:t>Service levels as a termination right without a cure period. Also any commitment measured at a level that includes Customer's own systems or third-party telecoms in the denominator.</w:t>
            </w:r>
          </w:p>
        </w:tc>
      </w:tr>
      <w:tr>
        <w:tc>
          <w:tcPr>
            <w:tcW w:type="dxa" w:w="2160"/>
          </w:tcPr>
          <w:p>
            <w:r/>
            <w:r>
              <w:rPr>
                <w:rFonts w:ascii="Times New Roman" w:hAnsi="Times New Roman" w:cs="Times New Roman"/>
                <w:b w:val="0"/>
                <w:i w:val="0"/>
                <w:sz w:val="18"/>
                <w:u w:val="none"/>
              </w:rPr>
              <w:t>Escalation</w:t>
            </w:r>
          </w:p>
        </w:tc>
        <w:tc>
          <w:tcPr>
            <w:tcW w:type="dxa" w:w="8064"/>
          </w:tcPr>
          <w:p>
            <w:r/>
            <w:r>
              <w:rPr>
                <w:rFonts w:ascii="Times New Roman" w:hAnsi="Times New Roman" w:cs="Times New Roman"/>
                <w:b w:val="0"/>
                <w:i w:val="0"/>
                <w:sz w:val="18"/>
                <w:u w:val="none"/>
              </w:rPr>
              <w:t>Associate GC for any termination trigger.</w:t>
            </w:r>
          </w:p>
        </w:tc>
      </w:tr>
      <w:tr>
        <w:tc>
          <w:tcPr>
            <w:tcW w:type="dxa" w:w="2160"/>
          </w:tcPr>
          <w:p>
            <w:r/>
            <w:r>
              <w:rPr>
                <w:rFonts w:ascii="Times New Roman" w:hAnsi="Times New Roman" w:cs="Times New Roman"/>
                <w:b w:val="0"/>
                <w:i w:val="0"/>
                <w:sz w:val="18"/>
                <w:u w:val="none"/>
              </w:rPr>
              <w:t>Drafting note</w:t>
            </w:r>
          </w:p>
        </w:tc>
        <w:tc>
          <w:tcPr>
            <w:tcW w:type="dxa" w:w="8064"/>
          </w:tcPr>
          <w:p>
            <w:r/>
            <w:r>
              <w:rPr>
                <w:rFonts w:ascii="Times New Roman" w:hAnsi="Times New Roman" w:cs="Times New Roman"/>
                <w:b w:val="0"/>
                <w:i w:val="0"/>
                <w:sz w:val="18"/>
                <w:u w:val="none"/>
              </w:rPr>
              <w:t>A 'sole and exclusive remedy' sentence is not optional once credits are offered. Without it the customer's credits do not replace, they sit alongside, any other remedy they might argue for under the warranty clause.</w:t>
            </w:r>
          </w:p>
        </w:tc>
      </w:tr>
      <w:tr>
        <w:tc>
          <w:tcPr>
            <w:tcW w:type="dxa" w:w="2160"/>
          </w:tcPr>
          <w:p>
            <w:r/>
            <w:r>
              <w:rPr>
                <w:rFonts w:ascii="Times New Roman" w:hAnsi="Times New Roman" w:cs="Times New Roman"/>
                <w:b w:val="0"/>
                <w:i w:val="0"/>
                <w:sz w:val="18"/>
                <w:u w:val="none"/>
              </w:rPr>
              <w:t>Sample wording</w:t>
            </w:r>
          </w:p>
        </w:tc>
        <w:tc>
          <w:tcPr>
            <w:tcW w:type="dxa" w:w="8064"/>
          </w:tcPr>
          <w:p>
            <w:r/>
            <w:r>
              <w:rPr>
                <w:rFonts w:ascii="Times New Roman" w:hAnsi="Times New Roman" w:cs="Times New Roman"/>
                <w:b w:val="0"/>
                <w:i w:val="0"/>
                <w:sz w:val="18"/>
                <w:u w:val="none"/>
              </w:rPr>
              <w:t>If the Monthly Uptime Percentage falls below the Monthly Uptime Commitment, Customer shall be entitled to a service credit calculated in accordance with the table in Schedule 2. Service credits are Customer's sole and exclusive remedy for any failure to meet the Monthly Uptime Commitment. Customer may terminate the affected Order Form if the Monthly Uptime Percentage falls below the Monthly Uptime Commitment in three (3) consecutive months.</w:t>
            </w:r>
          </w:p>
        </w:tc>
      </w:tr>
    </w:tbl>
    <w:p>
      <w:pPr/>
    </w:p>
    <w:p>
      <w:pPr>
        <w:spacing w:before="120" w:after="60" w:line="276" w:lineRule="auto"/>
      </w:pPr>
      <w:r>
        <w:rPr>
          <w:rFonts w:ascii="Times New Roman" w:hAnsi="Times New Roman" w:cs="Times New Roman"/>
          <w:b/>
          <w:i w:val="0"/>
          <w:sz w:val="21"/>
          <w:u w:val="none"/>
        </w:rPr>
        <w:t>P6. Payment terms, late fees and suspension for non-payment</w:t>
      </w:r>
    </w:p>
    <w:tbl>
      <w:tblPr>
        <w:tblStyle w:val="TableGrid"/>
        <w:tblW w:type="auto" w:w="0"/>
        <w:tblLook w:firstColumn="1" w:firstRow="1" w:lastColumn="0" w:lastRow="0" w:noHBand="0" w:noVBand="1" w:val="04A0"/>
      </w:tblPr>
      <w:tblGrid>
        <w:gridCol w:w="4680"/>
        <w:gridCol w:w="4680"/>
      </w:tblGrid>
      <w:tr>
        <w:tc>
          <w:tcPr>
            <w:tcW w:type="dxa" w:w="2160"/>
          </w:tcPr>
          <w:p>
            <w:r/>
            <w:r>
              <w:rPr>
                <w:rFonts w:ascii="Times New Roman" w:hAnsi="Times New Roman" w:cs="Times New Roman"/>
                <w:b/>
                <w:i w:val="0"/>
                <w:sz w:val="18"/>
                <w:u w:val="none"/>
              </w:rPr>
              <w:t>Field</w:t>
            </w:r>
          </w:p>
        </w:tc>
        <w:tc>
          <w:tcPr>
            <w:tcW w:type="dxa" w:w="8064"/>
          </w:tcPr>
          <w:p>
            <w:r/>
            <w:r>
              <w:rPr>
                <w:rFonts w:ascii="Times New Roman" w:hAnsi="Times New Roman" w:cs="Times New Roman"/>
                <w:b/>
                <w:i w:val="0"/>
                <w:sz w:val="18"/>
                <w:u w:val="none"/>
              </w:rPr>
              <w:t>Position</w:t>
            </w:r>
          </w:p>
        </w:tc>
      </w:tr>
      <w:tr>
        <w:tc>
          <w:tcPr>
            <w:tcW w:type="dxa" w:w="2160"/>
          </w:tcPr>
          <w:p>
            <w:r/>
            <w:r>
              <w:rPr>
                <w:rFonts w:ascii="Times New Roman" w:hAnsi="Times New Roman" w:cs="Times New Roman"/>
                <w:b w:val="0"/>
                <w:i w:val="0"/>
                <w:sz w:val="18"/>
                <w:u w:val="none"/>
              </w:rPr>
              <w:t>Ref</w:t>
            </w:r>
          </w:p>
        </w:tc>
        <w:tc>
          <w:tcPr>
            <w:tcW w:type="dxa" w:w="8064"/>
          </w:tcPr>
          <w:p>
            <w:r/>
            <w:r>
              <w:rPr>
                <w:rFonts w:ascii="Times New Roman" w:hAnsi="Times New Roman" w:cs="Times New Roman"/>
                <w:b w:val="0"/>
                <w:i w:val="0"/>
                <w:sz w:val="18"/>
                <w:u w:val="none"/>
              </w:rPr>
              <w:t>P6</w:t>
            </w:r>
          </w:p>
        </w:tc>
      </w:tr>
      <w:tr>
        <w:tc>
          <w:tcPr>
            <w:tcW w:type="dxa" w:w="2160"/>
          </w:tcPr>
          <w:p>
            <w:r/>
            <w:r>
              <w:rPr>
                <w:rFonts w:ascii="Times New Roman" w:hAnsi="Times New Roman" w:cs="Times New Roman"/>
                <w:b w:val="0"/>
                <w:i w:val="0"/>
                <w:sz w:val="18"/>
                <w:u w:val="none"/>
              </w:rPr>
              <w:t>Applies to</w:t>
            </w:r>
          </w:p>
        </w:tc>
        <w:tc>
          <w:tcPr>
            <w:tcW w:type="dxa" w:w="8064"/>
          </w:tcPr>
          <w:p>
            <w:r/>
            <w:r>
              <w:rPr>
                <w:rFonts w:ascii="Times New Roman" w:hAnsi="Times New Roman" w:cs="Times New Roman"/>
                <w:b w:val="0"/>
                <w:i w:val="0"/>
                <w:sz w:val="18"/>
                <w:u w:val="none"/>
              </w:rPr>
              <w:t>MSA, order form, SOW</w:t>
            </w:r>
          </w:p>
        </w:tc>
      </w:tr>
      <w:tr>
        <w:tc>
          <w:tcPr>
            <w:tcW w:type="dxa" w:w="2160"/>
          </w:tcPr>
          <w:p>
            <w:r/>
            <w:r>
              <w:rPr>
                <w:rFonts w:ascii="Times New Roman" w:hAnsi="Times New Roman" w:cs="Times New Roman"/>
                <w:b w:val="0"/>
                <w:i w:val="0"/>
                <w:sz w:val="18"/>
                <w:u w:val="none"/>
              </w:rPr>
              <w:t>Standard position</w:t>
            </w:r>
          </w:p>
        </w:tc>
        <w:tc>
          <w:tcPr>
            <w:tcW w:type="dxa" w:w="8064"/>
          </w:tcPr>
          <w:p>
            <w:r/>
            <w:r>
              <w:rPr>
                <w:rFonts w:ascii="Times New Roman" w:hAnsi="Times New Roman" w:cs="Times New Roman"/>
                <w:b w:val="0"/>
                <w:i w:val="0"/>
                <w:sz w:val="18"/>
                <w:u w:val="none"/>
              </w:rPr>
              <w:t>Invoices monthly in arrears, payable 30 days from the invoice date. Undisputed overdue amounts accrue interest at 1.0% per month or the maximum rate permitted by law, whichever is lower. Where an undisputed invoice is more than 45 days overdue, Northwind may suspend the Services on 15 days' written notice.</w:t>
            </w:r>
          </w:p>
        </w:tc>
      </w:tr>
      <w:tr>
        <w:tc>
          <w:tcPr>
            <w:tcW w:type="dxa" w:w="2160"/>
          </w:tcPr>
          <w:p>
            <w:r/>
            <w:r>
              <w:rPr>
                <w:rFonts w:ascii="Times New Roman" w:hAnsi="Times New Roman" w:cs="Times New Roman"/>
                <w:b w:val="0"/>
                <w:i w:val="0"/>
                <w:sz w:val="18"/>
                <w:u w:val="none"/>
              </w:rPr>
              <w:t>Fallback 1</w:t>
            </w:r>
          </w:p>
        </w:tc>
        <w:tc>
          <w:tcPr>
            <w:tcW w:type="dxa" w:w="8064"/>
          </w:tcPr>
          <w:p>
            <w:r/>
            <w:r>
              <w:rPr>
                <w:rFonts w:ascii="Times New Roman" w:hAnsi="Times New Roman" w:cs="Times New Roman"/>
                <w:b w:val="0"/>
                <w:i w:val="0"/>
                <w:sz w:val="18"/>
                <w:u w:val="none"/>
              </w:rPr>
              <w:t>Net 45 payment with the same interest rate and suspension right.</w:t>
            </w:r>
          </w:p>
        </w:tc>
      </w:tr>
      <w:tr>
        <w:tc>
          <w:tcPr>
            <w:tcW w:type="dxa" w:w="2160"/>
          </w:tcPr>
          <w:p>
            <w:r/>
            <w:r>
              <w:rPr>
                <w:rFonts w:ascii="Times New Roman" w:hAnsi="Times New Roman" w:cs="Times New Roman"/>
                <w:b w:val="0"/>
                <w:i w:val="0"/>
                <w:sz w:val="18"/>
                <w:u w:val="none"/>
              </w:rPr>
              <w:t>Fallback 2</w:t>
            </w:r>
          </w:p>
        </w:tc>
        <w:tc>
          <w:tcPr>
            <w:tcW w:type="dxa" w:w="8064"/>
          </w:tcPr>
          <w:p>
            <w:r/>
            <w:r>
              <w:rPr>
                <w:rFonts w:ascii="Times New Roman" w:hAnsi="Times New Roman" w:cs="Times New Roman"/>
                <w:b w:val="0"/>
                <w:i w:val="0"/>
                <w:sz w:val="18"/>
                <w:u w:val="none"/>
              </w:rPr>
              <w:t>Net 60 payment for Tier 1 deals, with suspension requiring 30 days' notice and the suspension right disapplied while the parties are in good-faith dispute discussions that have been escalated.</w:t>
            </w:r>
          </w:p>
        </w:tc>
      </w:tr>
      <w:tr>
        <w:tc>
          <w:tcPr>
            <w:tcW w:type="dxa" w:w="2160"/>
          </w:tcPr>
          <w:p>
            <w:r/>
            <w:r>
              <w:rPr>
                <w:rFonts w:ascii="Times New Roman" w:hAnsi="Times New Roman" w:cs="Times New Roman"/>
                <w:b w:val="0"/>
                <w:i w:val="0"/>
                <w:sz w:val="18"/>
                <w:u w:val="none"/>
              </w:rPr>
              <w:t>Walk-away / red line</w:t>
            </w:r>
          </w:p>
        </w:tc>
        <w:tc>
          <w:tcPr>
            <w:tcW w:type="dxa" w:w="8064"/>
          </w:tcPr>
          <w:p>
            <w:r/>
            <w:r>
              <w:rPr>
                <w:rFonts w:ascii="Times New Roman" w:hAnsi="Times New Roman" w:cs="Times New Roman"/>
                <w:b w:val="0"/>
                <w:i w:val="0"/>
                <w:sz w:val="18"/>
                <w:u w:val="none"/>
              </w:rPr>
              <w:t>No right to suspend for non-payment. Also: interest calculated on the gross invoice rather than the overdue balance.</w:t>
            </w:r>
          </w:p>
        </w:tc>
      </w:tr>
      <w:tr>
        <w:tc>
          <w:tcPr>
            <w:tcW w:type="dxa" w:w="2160"/>
          </w:tcPr>
          <w:p>
            <w:r/>
            <w:r>
              <w:rPr>
                <w:rFonts w:ascii="Times New Roman" w:hAnsi="Times New Roman" w:cs="Times New Roman"/>
                <w:b w:val="0"/>
                <w:i w:val="0"/>
                <w:sz w:val="18"/>
                <w:u w:val="none"/>
              </w:rPr>
              <w:t>Drafting note</w:t>
            </w:r>
          </w:p>
        </w:tc>
        <w:tc>
          <w:tcPr>
            <w:tcW w:type="dxa" w:w="8064"/>
          </w:tcPr>
          <w:p>
            <w:r/>
            <w:r>
              <w:rPr>
                <w:rFonts w:ascii="Times New Roman" w:hAnsi="Times New Roman" w:cs="Times New Roman"/>
                <w:b w:val="0"/>
                <w:i w:val="0"/>
                <w:sz w:val="18"/>
                <w:u w:val="none"/>
              </w:rPr>
              <w:t>Always keep the suspension right separate from any broader suspension clause in the customer's paper. If a customer's draft puts non-payment suspension into a general 'suspension' clause, check that suspension for non-payment is not limited to 'material breach not cured within 30 days'.</w:t>
            </w:r>
          </w:p>
        </w:tc>
      </w:tr>
      <w:tr>
        <w:tc>
          <w:tcPr>
            <w:tcW w:type="dxa" w:w="2160"/>
          </w:tcPr>
          <w:p>
            <w:r/>
            <w:r>
              <w:rPr>
                <w:rFonts w:ascii="Times New Roman" w:hAnsi="Times New Roman" w:cs="Times New Roman"/>
                <w:b w:val="0"/>
                <w:i w:val="0"/>
                <w:sz w:val="18"/>
                <w:u w:val="none"/>
              </w:rPr>
              <w:t>Sample wording</w:t>
            </w:r>
          </w:p>
        </w:tc>
        <w:tc>
          <w:tcPr>
            <w:tcW w:type="dxa" w:w="8064"/>
          </w:tcPr>
          <w:p>
            <w:r/>
            <w:r>
              <w:rPr>
                <w:rFonts w:ascii="Times New Roman" w:hAnsi="Times New Roman" w:cs="Times New Roman"/>
                <w:b w:val="0"/>
                <w:i w:val="0"/>
                <w:sz w:val="18"/>
                <w:u w:val="none"/>
              </w:rPr>
              <w:t>Customer shall pay each undisputed invoice within thirty (30) days of the invoice date. Amounts not paid when due accrue interest from the due date until paid at the rate of one percent (1.0%) per month or the maximum rate permitted by law, whichever is lower. If an undisputed invoice remains unpaid for more than forty-five (45) days after its due date, Northwind may suspend the Services on fifteen (15) days' written notice until payment is received.</w:t>
            </w:r>
          </w:p>
        </w:tc>
      </w:tr>
    </w:tbl>
    <w:p>
      <w:pPr/>
    </w:p>
    <w:p>
      <w:pPr>
        <w:spacing w:before="120" w:after="60" w:line="276" w:lineRule="auto"/>
      </w:pPr>
      <w:r>
        <w:rPr>
          <w:rFonts w:ascii="Times New Roman" w:hAnsi="Times New Roman" w:cs="Times New Roman"/>
          <w:b/>
          <w:i w:val="0"/>
          <w:sz w:val="21"/>
          <w:u w:val="none"/>
        </w:rPr>
        <w:t>P7. Term, renewal and extension</w:t>
      </w:r>
    </w:p>
    <w:tbl>
      <w:tblPr>
        <w:tblStyle w:val="TableGrid"/>
        <w:tblW w:type="auto" w:w="0"/>
        <w:tblLook w:firstColumn="1" w:firstRow="1" w:lastColumn="0" w:lastRow="0" w:noHBand="0" w:noVBand="1" w:val="04A0"/>
      </w:tblPr>
      <w:tblGrid>
        <w:gridCol w:w="4680"/>
        <w:gridCol w:w="4680"/>
      </w:tblGrid>
      <w:tr>
        <w:tc>
          <w:tcPr>
            <w:tcW w:type="dxa" w:w="2160"/>
          </w:tcPr>
          <w:p>
            <w:r/>
            <w:r>
              <w:rPr>
                <w:rFonts w:ascii="Times New Roman" w:hAnsi="Times New Roman" w:cs="Times New Roman"/>
                <w:b/>
                <w:i w:val="0"/>
                <w:sz w:val="18"/>
                <w:u w:val="none"/>
              </w:rPr>
              <w:t>Field</w:t>
            </w:r>
          </w:p>
        </w:tc>
        <w:tc>
          <w:tcPr>
            <w:tcW w:type="dxa" w:w="8064"/>
          </w:tcPr>
          <w:p>
            <w:r/>
            <w:r>
              <w:rPr>
                <w:rFonts w:ascii="Times New Roman" w:hAnsi="Times New Roman" w:cs="Times New Roman"/>
                <w:b/>
                <w:i w:val="0"/>
                <w:sz w:val="18"/>
                <w:u w:val="none"/>
              </w:rPr>
              <w:t>Position</w:t>
            </w:r>
          </w:p>
        </w:tc>
      </w:tr>
      <w:tr>
        <w:tc>
          <w:tcPr>
            <w:tcW w:type="dxa" w:w="2160"/>
          </w:tcPr>
          <w:p>
            <w:r/>
            <w:r>
              <w:rPr>
                <w:rFonts w:ascii="Times New Roman" w:hAnsi="Times New Roman" w:cs="Times New Roman"/>
                <w:b w:val="0"/>
                <w:i w:val="0"/>
                <w:sz w:val="18"/>
                <w:u w:val="none"/>
              </w:rPr>
              <w:t>Ref</w:t>
            </w:r>
          </w:p>
        </w:tc>
        <w:tc>
          <w:tcPr>
            <w:tcW w:type="dxa" w:w="8064"/>
          </w:tcPr>
          <w:p>
            <w:r/>
            <w:r>
              <w:rPr>
                <w:rFonts w:ascii="Times New Roman" w:hAnsi="Times New Roman" w:cs="Times New Roman"/>
                <w:b w:val="0"/>
                <w:i w:val="0"/>
                <w:sz w:val="18"/>
                <w:u w:val="none"/>
              </w:rPr>
              <w:t>P7</w:t>
            </w:r>
          </w:p>
        </w:tc>
      </w:tr>
      <w:tr>
        <w:tc>
          <w:tcPr>
            <w:tcW w:type="dxa" w:w="2160"/>
          </w:tcPr>
          <w:p>
            <w:r/>
            <w:r>
              <w:rPr>
                <w:rFonts w:ascii="Times New Roman" w:hAnsi="Times New Roman" w:cs="Times New Roman"/>
                <w:b w:val="0"/>
                <w:i w:val="0"/>
                <w:sz w:val="18"/>
                <w:u w:val="none"/>
              </w:rPr>
              <w:t>Applies to</w:t>
            </w:r>
          </w:p>
        </w:tc>
        <w:tc>
          <w:tcPr>
            <w:tcW w:type="dxa" w:w="8064"/>
          </w:tcPr>
          <w:p>
            <w:r/>
            <w:r>
              <w:rPr>
                <w:rFonts w:ascii="Times New Roman" w:hAnsi="Times New Roman" w:cs="Times New Roman"/>
                <w:b w:val="0"/>
                <w:i w:val="0"/>
                <w:sz w:val="18"/>
                <w:u w:val="none"/>
              </w:rPr>
              <w:t>MSA, order form</w:t>
            </w:r>
          </w:p>
        </w:tc>
      </w:tr>
      <w:tr>
        <w:tc>
          <w:tcPr>
            <w:tcW w:type="dxa" w:w="2160"/>
          </w:tcPr>
          <w:p>
            <w:r/>
            <w:r>
              <w:rPr>
                <w:rFonts w:ascii="Times New Roman" w:hAnsi="Times New Roman" w:cs="Times New Roman"/>
                <w:b w:val="0"/>
                <w:i w:val="0"/>
                <w:sz w:val="18"/>
                <w:u w:val="none"/>
              </w:rPr>
              <w:t>Standard position</w:t>
            </w:r>
          </w:p>
        </w:tc>
        <w:tc>
          <w:tcPr>
            <w:tcW w:type="dxa" w:w="8064"/>
          </w:tcPr>
          <w:p>
            <w:r/>
            <w:r>
              <w:rPr>
                <w:rFonts w:ascii="Times New Roman" w:hAnsi="Times New Roman" w:cs="Times New Roman"/>
                <w:b w:val="0"/>
                <w:i w:val="0"/>
                <w:sz w:val="18"/>
                <w:u w:val="none"/>
              </w:rPr>
              <w:t>Initial term of 12 months from the Order Form effective date, renewing for successive 12-month periods unless either party gives notice of non-renewal at least 60 days before the end of the then-current term. Renewal pricing is our list price at the time of renewal, with no more than 7% uplift on the then-current rate.</w:t>
            </w:r>
          </w:p>
        </w:tc>
      </w:tr>
      <w:tr>
        <w:tc>
          <w:tcPr>
            <w:tcW w:type="dxa" w:w="2160"/>
          </w:tcPr>
          <w:p>
            <w:r/>
            <w:r>
              <w:rPr>
                <w:rFonts w:ascii="Times New Roman" w:hAnsi="Times New Roman" w:cs="Times New Roman"/>
                <w:b w:val="0"/>
                <w:i w:val="0"/>
                <w:sz w:val="18"/>
                <w:u w:val="none"/>
              </w:rPr>
              <w:t>Fallback 1</w:t>
            </w:r>
          </w:p>
        </w:tc>
        <w:tc>
          <w:tcPr>
            <w:tcW w:type="dxa" w:w="8064"/>
          </w:tcPr>
          <w:p>
            <w:r/>
            <w:r>
              <w:rPr>
                <w:rFonts w:ascii="Times New Roman" w:hAnsi="Times New Roman" w:cs="Times New Roman"/>
                <w:b w:val="0"/>
                <w:i w:val="0"/>
                <w:sz w:val="18"/>
                <w:u w:val="none"/>
              </w:rPr>
              <w:t>Accept notice of non-renewal at least 90 days before the end of the then-current term, keeping 12-month renewals and the 7% cap.</w:t>
            </w:r>
          </w:p>
        </w:tc>
      </w:tr>
      <w:tr>
        <w:tc>
          <w:tcPr>
            <w:tcW w:type="dxa" w:w="2160"/>
          </w:tcPr>
          <w:p>
            <w:r/>
            <w:r>
              <w:rPr>
                <w:rFonts w:ascii="Times New Roman" w:hAnsi="Times New Roman" w:cs="Times New Roman"/>
                <w:b w:val="0"/>
                <w:i w:val="0"/>
                <w:sz w:val="18"/>
                <w:u w:val="none"/>
              </w:rPr>
              <w:t>Fallback 2</w:t>
            </w:r>
          </w:p>
        </w:tc>
        <w:tc>
          <w:tcPr>
            <w:tcW w:type="dxa" w:w="8064"/>
          </w:tcPr>
          <w:p>
            <w:r/>
            <w:r>
              <w:rPr>
                <w:rFonts w:ascii="Times New Roman" w:hAnsi="Times New Roman" w:cs="Times New Roman"/>
                <w:b w:val="0"/>
                <w:i w:val="0"/>
                <w:sz w:val="18"/>
                <w:u w:val="none"/>
              </w:rPr>
              <w:t>Accept 30-day non-renewal notice for Tier 1 deals only, with the renewal uplift capped at 5%.</w:t>
            </w:r>
          </w:p>
        </w:tc>
      </w:tr>
      <w:tr>
        <w:tc>
          <w:tcPr>
            <w:tcW w:type="dxa" w:w="2160"/>
          </w:tcPr>
          <w:p>
            <w:r/>
            <w:r>
              <w:rPr>
                <w:rFonts w:ascii="Times New Roman" w:hAnsi="Times New Roman" w:cs="Times New Roman"/>
                <w:b w:val="0"/>
                <w:i w:val="0"/>
                <w:sz w:val="18"/>
                <w:u w:val="none"/>
              </w:rPr>
              <w:t>Walk-away / red line</w:t>
            </w:r>
          </w:p>
        </w:tc>
        <w:tc>
          <w:tcPr>
            <w:tcW w:type="dxa" w:w="8064"/>
          </w:tcPr>
          <w:p>
            <w:r/>
            <w:r>
              <w:rPr>
                <w:rFonts w:ascii="Times New Roman" w:hAnsi="Times New Roman" w:cs="Times New Roman"/>
                <w:b w:val="0"/>
                <w:i w:val="0"/>
                <w:sz w:val="18"/>
                <w:u w:val="none"/>
              </w:rPr>
              <w:t>Evergreen renewal with no non-renewal right. Also any renewal price that is 'as mutually agreed', which in practice means the customer's price.</w:t>
            </w:r>
          </w:p>
        </w:tc>
      </w:tr>
      <w:tr>
        <w:tc>
          <w:tcPr>
            <w:tcW w:type="dxa" w:w="2160"/>
          </w:tcPr>
          <w:p>
            <w:r/>
            <w:r>
              <w:rPr>
                <w:rFonts w:ascii="Times New Roman" w:hAnsi="Times New Roman" w:cs="Times New Roman"/>
                <w:b w:val="0"/>
                <w:i w:val="0"/>
                <w:sz w:val="18"/>
                <w:u w:val="none"/>
              </w:rPr>
              <w:t>Drafting note</w:t>
            </w:r>
          </w:p>
        </w:tc>
        <w:tc>
          <w:tcPr>
            <w:tcW w:type="dxa" w:w="8064"/>
          </w:tcPr>
          <w:p>
            <w:r/>
            <w:r>
              <w:rPr>
                <w:rFonts w:ascii="Times New Roman" w:hAnsi="Times New Roman" w:cs="Times New Roman"/>
                <w:b w:val="0"/>
                <w:i w:val="0"/>
                <w:sz w:val="18"/>
                <w:u w:val="none"/>
              </w:rPr>
              <w:t>The renewal uplift cap matters more than the notice period in a flat-fee SaaS deal. Push the cap harder than the notice period.</w:t>
            </w:r>
          </w:p>
        </w:tc>
      </w:tr>
      <w:tr>
        <w:tc>
          <w:tcPr>
            <w:tcW w:type="dxa" w:w="2160"/>
          </w:tcPr>
          <w:p>
            <w:r/>
            <w:r>
              <w:rPr>
                <w:rFonts w:ascii="Times New Roman" w:hAnsi="Times New Roman" w:cs="Times New Roman"/>
                <w:b w:val="0"/>
                <w:i w:val="0"/>
                <w:sz w:val="18"/>
                <w:u w:val="none"/>
              </w:rPr>
              <w:t>Sample wording</w:t>
            </w:r>
          </w:p>
        </w:tc>
        <w:tc>
          <w:tcPr>
            <w:tcW w:type="dxa" w:w="8064"/>
          </w:tcPr>
          <w:p>
            <w:r/>
            <w:r>
              <w:rPr>
                <w:rFonts w:ascii="Times New Roman" w:hAnsi="Times New Roman" w:cs="Times New Roman"/>
                <w:b w:val="0"/>
                <w:i w:val="0"/>
                <w:sz w:val="18"/>
                <w:u w:val="none"/>
              </w:rPr>
              <w:t>The initial term of each Order Form begins on its effective date and continues for twelve (12) months. Each Order Form renews for successive twelve (12) month periods unless either party gives written notice of non-renewal at least sixty (60) days before the end of the then-current term. Charges for any renewal term shall not increase by more than seven percent (7%) over the Charges in effect for the immediately preceding term.</w:t>
            </w:r>
          </w:p>
        </w:tc>
      </w:tr>
    </w:tbl>
    <w:p>
      <w:pPr/>
    </w:p>
    <w:p>
      <w:pPr>
        <w:spacing w:before="120" w:after="60" w:line="276" w:lineRule="auto"/>
      </w:pPr>
      <w:r>
        <w:rPr>
          <w:rFonts w:ascii="Times New Roman" w:hAnsi="Times New Roman" w:cs="Times New Roman"/>
          <w:b/>
          <w:i w:val="0"/>
          <w:sz w:val="21"/>
          <w:u w:val="none"/>
        </w:rPr>
        <w:t>P8. Termination for convenience</w:t>
      </w:r>
    </w:p>
    <w:tbl>
      <w:tblPr>
        <w:tblStyle w:val="TableGrid"/>
        <w:tblW w:type="auto" w:w="0"/>
        <w:tblLook w:firstColumn="1" w:firstRow="1" w:lastColumn="0" w:lastRow="0" w:noHBand="0" w:noVBand="1" w:val="04A0"/>
      </w:tblPr>
      <w:tblGrid>
        <w:gridCol w:w="4680"/>
        <w:gridCol w:w="4680"/>
      </w:tblGrid>
      <w:tr>
        <w:tc>
          <w:tcPr>
            <w:tcW w:type="dxa" w:w="2160"/>
          </w:tcPr>
          <w:p>
            <w:r/>
            <w:r>
              <w:rPr>
                <w:rFonts w:ascii="Times New Roman" w:hAnsi="Times New Roman" w:cs="Times New Roman"/>
                <w:b/>
                <w:i w:val="0"/>
                <w:sz w:val="18"/>
                <w:u w:val="none"/>
              </w:rPr>
              <w:t>Field</w:t>
            </w:r>
          </w:p>
        </w:tc>
        <w:tc>
          <w:tcPr>
            <w:tcW w:type="dxa" w:w="8064"/>
          </w:tcPr>
          <w:p>
            <w:r/>
            <w:r>
              <w:rPr>
                <w:rFonts w:ascii="Times New Roman" w:hAnsi="Times New Roman" w:cs="Times New Roman"/>
                <w:b/>
                <w:i w:val="0"/>
                <w:sz w:val="18"/>
                <w:u w:val="none"/>
              </w:rPr>
              <w:t>Position</w:t>
            </w:r>
          </w:p>
        </w:tc>
      </w:tr>
      <w:tr>
        <w:tc>
          <w:tcPr>
            <w:tcW w:type="dxa" w:w="2160"/>
          </w:tcPr>
          <w:p>
            <w:r/>
            <w:r>
              <w:rPr>
                <w:rFonts w:ascii="Times New Roman" w:hAnsi="Times New Roman" w:cs="Times New Roman"/>
                <w:b w:val="0"/>
                <w:i w:val="0"/>
                <w:sz w:val="18"/>
                <w:u w:val="none"/>
              </w:rPr>
              <w:t>Ref</w:t>
            </w:r>
          </w:p>
        </w:tc>
        <w:tc>
          <w:tcPr>
            <w:tcW w:type="dxa" w:w="8064"/>
          </w:tcPr>
          <w:p>
            <w:r/>
            <w:r>
              <w:rPr>
                <w:rFonts w:ascii="Times New Roman" w:hAnsi="Times New Roman" w:cs="Times New Roman"/>
                <w:b w:val="0"/>
                <w:i w:val="0"/>
                <w:sz w:val="18"/>
                <w:u w:val="none"/>
              </w:rPr>
              <w:t>P8</w:t>
            </w:r>
          </w:p>
        </w:tc>
      </w:tr>
      <w:tr>
        <w:tc>
          <w:tcPr>
            <w:tcW w:type="dxa" w:w="2160"/>
          </w:tcPr>
          <w:p>
            <w:r/>
            <w:r>
              <w:rPr>
                <w:rFonts w:ascii="Times New Roman" w:hAnsi="Times New Roman" w:cs="Times New Roman"/>
                <w:b w:val="0"/>
                <w:i w:val="0"/>
                <w:sz w:val="18"/>
                <w:u w:val="none"/>
              </w:rPr>
              <w:t>Applies to</w:t>
            </w:r>
          </w:p>
        </w:tc>
        <w:tc>
          <w:tcPr>
            <w:tcW w:type="dxa" w:w="8064"/>
          </w:tcPr>
          <w:p>
            <w:r/>
            <w:r>
              <w:rPr>
                <w:rFonts w:ascii="Times New Roman" w:hAnsi="Times New Roman" w:cs="Times New Roman"/>
                <w:b w:val="0"/>
                <w:i w:val="0"/>
                <w:sz w:val="18"/>
                <w:u w:val="none"/>
              </w:rPr>
              <w:t>MSA, order form</w:t>
            </w:r>
          </w:p>
        </w:tc>
      </w:tr>
      <w:tr>
        <w:tc>
          <w:tcPr>
            <w:tcW w:type="dxa" w:w="2160"/>
          </w:tcPr>
          <w:p>
            <w:r/>
            <w:r>
              <w:rPr>
                <w:rFonts w:ascii="Times New Roman" w:hAnsi="Times New Roman" w:cs="Times New Roman"/>
                <w:b w:val="0"/>
                <w:i w:val="0"/>
                <w:sz w:val="18"/>
                <w:u w:val="none"/>
              </w:rPr>
              <w:t>Standard position</w:t>
            </w:r>
          </w:p>
        </w:tc>
        <w:tc>
          <w:tcPr>
            <w:tcW w:type="dxa" w:w="8064"/>
          </w:tcPr>
          <w:p>
            <w:r/>
            <w:r>
              <w:rPr>
                <w:rFonts w:ascii="Times New Roman" w:hAnsi="Times New Roman" w:cs="Times New Roman"/>
                <w:b w:val="0"/>
                <w:i w:val="0"/>
                <w:sz w:val="18"/>
                <w:u w:val="none"/>
              </w:rPr>
              <w:t>Northwind may terminate an Order Form for convenience on 90 days' written notice, effective at the end of the then-current Subscription Term. Customer has no termination for convenience right. In no case is a termination for convenience a Customer payment event.</w:t>
            </w:r>
          </w:p>
        </w:tc>
      </w:tr>
      <w:tr>
        <w:tc>
          <w:tcPr>
            <w:tcW w:type="dxa" w:w="2160"/>
          </w:tcPr>
          <w:p>
            <w:r/>
            <w:r>
              <w:rPr>
                <w:rFonts w:ascii="Times New Roman" w:hAnsi="Times New Roman" w:cs="Times New Roman"/>
                <w:b w:val="0"/>
                <w:i w:val="0"/>
                <w:sz w:val="18"/>
                <w:u w:val="none"/>
              </w:rPr>
              <w:t>Fallback 1</w:t>
            </w:r>
          </w:p>
        </w:tc>
        <w:tc>
          <w:tcPr>
            <w:tcW w:type="dxa" w:w="8064"/>
          </w:tcPr>
          <w:p>
            <w:r/>
            <w:r>
              <w:rPr>
                <w:rFonts w:ascii="Times New Roman" w:hAnsi="Times New Roman" w:cs="Times New Roman"/>
                <w:b w:val="0"/>
                <w:i w:val="0"/>
                <w:sz w:val="18"/>
                <w:u w:val="none"/>
              </w:rPr>
              <w:t>Accept termination for convenience by either party on 90 days' notice, effective at the end of the then-current Subscription Term, with no early termination charge.</w:t>
            </w:r>
          </w:p>
        </w:tc>
      </w:tr>
      <w:tr>
        <w:tc>
          <w:tcPr>
            <w:tcW w:type="dxa" w:w="2160"/>
          </w:tcPr>
          <w:p>
            <w:r/>
            <w:r>
              <w:rPr>
                <w:rFonts w:ascii="Times New Roman" w:hAnsi="Times New Roman" w:cs="Times New Roman"/>
                <w:b w:val="0"/>
                <w:i w:val="0"/>
                <w:sz w:val="18"/>
                <w:u w:val="none"/>
              </w:rPr>
              <w:t>Fallback 2</w:t>
            </w:r>
          </w:p>
        </w:tc>
        <w:tc>
          <w:tcPr>
            <w:tcW w:type="dxa" w:w="8064"/>
          </w:tcPr>
          <w:p>
            <w:r/>
            <w:r>
              <w:rPr>
                <w:rFonts w:ascii="Times New Roman" w:hAnsi="Times New Roman" w:cs="Times New Roman"/>
                <w:b w:val="0"/>
                <w:i w:val="0"/>
                <w:sz w:val="18"/>
                <w:u w:val="none"/>
              </w:rPr>
              <w:t>Accept a Customer termination for convenience right on 60 days' notice with an early termination charge equal to 50% of the remaining committed fees for the then-current term only, not the whole term.</w:t>
            </w:r>
          </w:p>
        </w:tc>
      </w:tr>
      <w:tr>
        <w:tc>
          <w:tcPr>
            <w:tcW w:type="dxa" w:w="2160"/>
          </w:tcPr>
          <w:p>
            <w:r/>
            <w:r>
              <w:rPr>
                <w:rFonts w:ascii="Times New Roman" w:hAnsi="Times New Roman" w:cs="Times New Roman"/>
                <w:b w:val="0"/>
                <w:i w:val="0"/>
                <w:sz w:val="18"/>
                <w:u w:val="none"/>
              </w:rPr>
              <w:t>Walk-away / red line</w:t>
            </w:r>
          </w:p>
        </w:tc>
        <w:tc>
          <w:tcPr>
            <w:tcW w:type="dxa" w:w="8064"/>
          </w:tcPr>
          <w:p>
            <w:r/>
            <w:r>
              <w:rPr>
                <w:rFonts w:ascii="Times New Roman" w:hAnsi="Times New Roman" w:cs="Times New Roman"/>
                <w:b w:val="0"/>
                <w:i w:val="0"/>
                <w:sz w:val="18"/>
                <w:u w:val="none"/>
              </w:rPr>
              <w:t>Customer termination for convenience at any time during the term with a charge calculated on the whole committed term. Also any early termination charge for Customer breach, non-payment or our uncured material breach.</w:t>
            </w:r>
          </w:p>
        </w:tc>
      </w:tr>
      <w:tr>
        <w:tc>
          <w:tcPr>
            <w:tcW w:type="dxa" w:w="2160"/>
          </w:tcPr>
          <w:p>
            <w:r/>
            <w:r>
              <w:rPr>
                <w:rFonts w:ascii="Times New Roman" w:hAnsi="Times New Roman" w:cs="Times New Roman"/>
                <w:b w:val="0"/>
                <w:i w:val="0"/>
                <w:sz w:val="18"/>
                <w:u w:val="none"/>
              </w:rPr>
              <w:t>Drafting note</w:t>
            </w:r>
          </w:p>
        </w:tc>
        <w:tc>
          <w:tcPr>
            <w:tcW w:type="dxa" w:w="8064"/>
          </w:tcPr>
          <w:p>
            <w:r/>
            <w:r>
              <w:rPr>
                <w:rFonts w:ascii="Times New Roman" w:hAnsi="Times New Roman" w:cs="Times New Roman"/>
                <w:b w:val="0"/>
                <w:i w:val="0"/>
                <w:sz w:val="18"/>
                <w:u w:val="none"/>
              </w:rPr>
              <w:t>Early termination charges are only acceptable against the then-current term. A charge running to the end of the whole agreement, including renewals, has been rejected by our CFO twice in the last year.</w:t>
            </w:r>
          </w:p>
        </w:tc>
      </w:tr>
      <w:tr>
        <w:tc>
          <w:tcPr>
            <w:tcW w:type="dxa" w:w="2160"/>
          </w:tcPr>
          <w:p>
            <w:r/>
            <w:r>
              <w:rPr>
                <w:rFonts w:ascii="Times New Roman" w:hAnsi="Times New Roman" w:cs="Times New Roman"/>
                <w:b w:val="0"/>
                <w:i w:val="0"/>
                <w:sz w:val="18"/>
                <w:u w:val="none"/>
              </w:rPr>
              <w:t>Sample wording</w:t>
            </w:r>
          </w:p>
        </w:tc>
        <w:tc>
          <w:tcPr>
            <w:tcW w:type="dxa" w:w="8064"/>
          </w:tcPr>
          <w:p>
            <w:r/>
            <w:r>
              <w:rPr>
                <w:rFonts w:ascii="Times New Roman" w:hAnsi="Times New Roman" w:cs="Times New Roman"/>
                <w:b w:val="0"/>
                <w:i w:val="0"/>
                <w:sz w:val="18"/>
                <w:u w:val="none"/>
              </w:rPr>
              <w:t>Northwind may terminate an Order Form for convenience on ninety (90) days' written notice to Customer, such termination to take effect at the end of the then-current Subscription Term. Termination by Northwind under this clause is not a Customer payment event.</w:t>
            </w:r>
          </w:p>
        </w:tc>
      </w:tr>
    </w:tbl>
    <w:p>
      <w:pPr/>
    </w:p>
    <w:p>
      <w:pPr>
        <w:spacing w:before="120" w:after="60" w:line="276" w:lineRule="auto"/>
      </w:pPr>
      <w:r>
        <w:rPr>
          <w:rFonts w:ascii="Times New Roman" w:hAnsi="Times New Roman" w:cs="Times New Roman"/>
          <w:b/>
          <w:i w:val="0"/>
          <w:sz w:val="21"/>
          <w:u w:val="none"/>
        </w:rPr>
        <w:t>P9. Termination for cause and cure periods</w:t>
      </w:r>
    </w:p>
    <w:tbl>
      <w:tblPr>
        <w:tblStyle w:val="TableGrid"/>
        <w:tblW w:type="auto" w:w="0"/>
        <w:tblLook w:firstColumn="1" w:firstRow="1" w:lastColumn="0" w:lastRow="0" w:noHBand="0" w:noVBand="1" w:val="04A0"/>
      </w:tblPr>
      <w:tblGrid>
        <w:gridCol w:w="4680"/>
        <w:gridCol w:w="4680"/>
      </w:tblGrid>
      <w:tr>
        <w:tc>
          <w:tcPr>
            <w:tcW w:type="dxa" w:w="2160"/>
          </w:tcPr>
          <w:p>
            <w:r/>
            <w:r>
              <w:rPr>
                <w:rFonts w:ascii="Times New Roman" w:hAnsi="Times New Roman" w:cs="Times New Roman"/>
                <w:b/>
                <w:i w:val="0"/>
                <w:sz w:val="18"/>
                <w:u w:val="none"/>
              </w:rPr>
              <w:t>Field</w:t>
            </w:r>
          </w:p>
        </w:tc>
        <w:tc>
          <w:tcPr>
            <w:tcW w:type="dxa" w:w="8064"/>
          </w:tcPr>
          <w:p>
            <w:r/>
            <w:r>
              <w:rPr>
                <w:rFonts w:ascii="Times New Roman" w:hAnsi="Times New Roman" w:cs="Times New Roman"/>
                <w:b/>
                <w:i w:val="0"/>
                <w:sz w:val="18"/>
                <w:u w:val="none"/>
              </w:rPr>
              <w:t>Position</w:t>
            </w:r>
          </w:p>
        </w:tc>
      </w:tr>
      <w:tr>
        <w:tc>
          <w:tcPr>
            <w:tcW w:type="dxa" w:w="2160"/>
          </w:tcPr>
          <w:p>
            <w:r/>
            <w:r>
              <w:rPr>
                <w:rFonts w:ascii="Times New Roman" w:hAnsi="Times New Roman" w:cs="Times New Roman"/>
                <w:b w:val="0"/>
                <w:i w:val="0"/>
                <w:sz w:val="18"/>
                <w:u w:val="none"/>
              </w:rPr>
              <w:t>Ref</w:t>
            </w:r>
          </w:p>
        </w:tc>
        <w:tc>
          <w:tcPr>
            <w:tcW w:type="dxa" w:w="8064"/>
          </w:tcPr>
          <w:p>
            <w:r/>
            <w:r>
              <w:rPr>
                <w:rFonts w:ascii="Times New Roman" w:hAnsi="Times New Roman" w:cs="Times New Roman"/>
                <w:b w:val="0"/>
                <w:i w:val="0"/>
                <w:sz w:val="18"/>
                <w:u w:val="none"/>
              </w:rPr>
              <w:t>P9</w:t>
            </w:r>
          </w:p>
        </w:tc>
      </w:tr>
      <w:tr>
        <w:tc>
          <w:tcPr>
            <w:tcW w:type="dxa" w:w="2160"/>
          </w:tcPr>
          <w:p>
            <w:r/>
            <w:r>
              <w:rPr>
                <w:rFonts w:ascii="Times New Roman" w:hAnsi="Times New Roman" w:cs="Times New Roman"/>
                <w:b w:val="0"/>
                <w:i w:val="0"/>
                <w:sz w:val="18"/>
                <w:u w:val="none"/>
              </w:rPr>
              <w:t>Applies to</w:t>
            </w:r>
          </w:p>
        </w:tc>
        <w:tc>
          <w:tcPr>
            <w:tcW w:type="dxa" w:w="8064"/>
          </w:tcPr>
          <w:p>
            <w:r/>
            <w:r>
              <w:rPr>
                <w:rFonts w:ascii="Times New Roman" w:hAnsi="Times New Roman" w:cs="Times New Roman"/>
                <w:b w:val="0"/>
                <w:i w:val="0"/>
                <w:sz w:val="18"/>
                <w:u w:val="none"/>
              </w:rPr>
              <w:t>MSA</w:t>
            </w:r>
          </w:p>
        </w:tc>
      </w:tr>
      <w:tr>
        <w:tc>
          <w:tcPr>
            <w:tcW w:type="dxa" w:w="2160"/>
          </w:tcPr>
          <w:p>
            <w:r/>
            <w:r>
              <w:rPr>
                <w:rFonts w:ascii="Times New Roman" w:hAnsi="Times New Roman" w:cs="Times New Roman"/>
                <w:b w:val="0"/>
                <w:i w:val="0"/>
                <w:sz w:val="18"/>
                <w:u w:val="none"/>
              </w:rPr>
              <w:t>Standard position</w:t>
            </w:r>
          </w:p>
        </w:tc>
        <w:tc>
          <w:tcPr>
            <w:tcW w:type="dxa" w:w="8064"/>
          </w:tcPr>
          <w:p>
            <w:r/>
            <w:r>
              <w:rPr>
                <w:rFonts w:ascii="Times New Roman" w:hAnsi="Times New Roman" w:cs="Times New Roman"/>
                <w:b w:val="0"/>
                <w:i w:val="0"/>
                <w:sz w:val="18"/>
                <w:u w:val="none"/>
              </w:rPr>
              <w:t>Either party may terminate for the other party's material breach that is incapable of remedy, or that is capable of remedy and is not remedied within thirty (30) days of written notice specifying the breach. Termination for insolvency takes effect immediately on the making of the relevant order.</w:t>
            </w:r>
          </w:p>
        </w:tc>
      </w:tr>
      <w:tr>
        <w:tc>
          <w:tcPr>
            <w:tcW w:type="dxa" w:w="2160"/>
          </w:tcPr>
          <w:p>
            <w:r/>
            <w:r>
              <w:rPr>
                <w:rFonts w:ascii="Times New Roman" w:hAnsi="Times New Roman" w:cs="Times New Roman"/>
                <w:b w:val="0"/>
                <w:i w:val="0"/>
                <w:sz w:val="18"/>
                <w:u w:val="none"/>
              </w:rPr>
              <w:t>Fallback 1</w:t>
            </w:r>
          </w:p>
        </w:tc>
        <w:tc>
          <w:tcPr>
            <w:tcW w:type="dxa" w:w="8064"/>
          </w:tcPr>
          <w:p>
            <w:r/>
            <w:r>
              <w:rPr>
                <w:rFonts w:ascii="Times New Roman" w:hAnsi="Times New Roman" w:cs="Times New Roman"/>
                <w:b w:val="0"/>
                <w:i w:val="0"/>
                <w:sz w:val="18"/>
                <w:u w:val="none"/>
              </w:rPr>
              <w:t>Accept a 45-day cure period for material breach generally, keeping the 10-day cure period for confidentiality and data protection breaches.</w:t>
            </w:r>
          </w:p>
        </w:tc>
      </w:tr>
      <w:tr>
        <w:tc>
          <w:tcPr>
            <w:tcW w:type="dxa" w:w="2160"/>
          </w:tcPr>
          <w:p>
            <w:r/>
            <w:r>
              <w:rPr>
                <w:rFonts w:ascii="Times New Roman" w:hAnsi="Times New Roman" w:cs="Times New Roman"/>
                <w:b w:val="0"/>
                <w:i w:val="0"/>
                <w:sz w:val="18"/>
                <w:u w:val="none"/>
              </w:rPr>
              <w:t>Fallback 2</w:t>
            </w:r>
          </w:p>
        </w:tc>
        <w:tc>
          <w:tcPr>
            <w:tcW w:type="dxa" w:w="8064"/>
          </w:tcPr>
          <w:p>
            <w:r/>
            <w:r>
              <w:rPr>
                <w:rFonts w:ascii="Times New Roman" w:hAnsi="Times New Roman" w:cs="Times New Roman"/>
                <w:b w:val="0"/>
                <w:i w:val="0"/>
                <w:sz w:val="18"/>
                <w:u w:val="none"/>
              </w:rPr>
              <w:t>Accept no cure period for payment default beyond the suspension mechanics in P6, with immediate termination for repeated failure to pay.</w:t>
            </w:r>
          </w:p>
        </w:tc>
      </w:tr>
      <w:tr>
        <w:tc>
          <w:tcPr>
            <w:tcW w:type="dxa" w:w="2160"/>
          </w:tcPr>
          <w:p>
            <w:r/>
            <w:r>
              <w:rPr>
                <w:rFonts w:ascii="Times New Roman" w:hAnsi="Times New Roman" w:cs="Times New Roman"/>
                <w:b w:val="0"/>
                <w:i w:val="0"/>
                <w:sz w:val="18"/>
                <w:u w:val="none"/>
              </w:rPr>
              <w:t>Walk-away / red line</w:t>
            </w:r>
          </w:p>
        </w:tc>
        <w:tc>
          <w:tcPr>
            <w:tcW w:type="dxa" w:w="8064"/>
          </w:tcPr>
          <w:p>
            <w:r/>
            <w:r>
              <w:rPr>
                <w:rFonts w:ascii="Times New Roman" w:hAnsi="Times New Roman" w:cs="Times New Roman"/>
                <w:b w:val="0"/>
                <w:i w:val="0"/>
                <w:sz w:val="18"/>
                <w:u w:val="none"/>
              </w:rPr>
              <w:t>Termination for 'any breach', or a cure period that only runs from the customer's second written notice. Also a customer termination right for supplier breach that omits the materiality threshold.</w:t>
            </w:r>
          </w:p>
        </w:tc>
      </w:tr>
      <w:tr>
        <w:tc>
          <w:tcPr>
            <w:tcW w:type="dxa" w:w="2160"/>
          </w:tcPr>
          <w:p>
            <w:r/>
            <w:r>
              <w:rPr>
                <w:rFonts w:ascii="Times New Roman" w:hAnsi="Times New Roman" w:cs="Times New Roman"/>
                <w:b w:val="0"/>
                <w:i w:val="0"/>
                <w:sz w:val="18"/>
                <w:u w:val="none"/>
              </w:rPr>
              <w:t>Drafting note</w:t>
            </w:r>
          </w:p>
        </w:tc>
        <w:tc>
          <w:tcPr>
            <w:tcW w:type="dxa" w:w="8064"/>
          </w:tcPr>
          <w:p>
            <w:r/>
            <w:r>
              <w:rPr>
                <w:rFonts w:ascii="Times New Roman" w:hAnsi="Times New Roman" w:cs="Times New Roman"/>
                <w:b w:val="0"/>
                <w:i w:val="0"/>
                <w:sz w:val="18"/>
                <w:u w:val="none"/>
              </w:rPr>
              <w:t>Check that the cure clock starts at notice, not at the date the customer first complained. Drafts that say 'fails to remedy within 30 days of becoming aware of the breach' are a trap.</w:t>
            </w:r>
          </w:p>
        </w:tc>
      </w:tr>
      <w:tr>
        <w:tc>
          <w:tcPr>
            <w:tcW w:type="dxa" w:w="2160"/>
          </w:tcPr>
          <w:p>
            <w:r/>
            <w:r>
              <w:rPr>
                <w:rFonts w:ascii="Times New Roman" w:hAnsi="Times New Roman" w:cs="Times New Roman"/>
                <w:b w:val="0"/>
                <w:i w:val="0"/>
                <w:sz w:val="18"/>
                <w:u w:val="none"/>
              </w:rPr>
              <w:t>Sample wording</w:t>
            </w:r>
          </w:p>
        </w:tc>
        <w:tc>
          <w:tcPr>
            <w:tcW w:type="dxa" w:w="8064"/>
          </w:tcPr>
          <w:p>
            <w:r/>
            <w:r>
              <w:rPr>
                <w:rFonts w:ascii="Times New Roman" w:hAnsi="Times New Roman" w:cs="Times New Roman"/>
                <w:b w:val="0"/>
                <w:i w:val="0"/>
                <w:sz w:val="18"/>
                <w:u w:val="none"/>
              </w:rPr>
              <w:t>Either party may terminate this Agreement if the other party commits a material breach of it that is incapable of remedy, or that is capable of remedy and is not remedied within thirty (30) days after written notice specifying the breach in reasonable detail and requiring its remedy. Either party may terminate immediately on the making of an insolvency order in respect of the other party.</w:t>
            </w:r>
          </w:p>
        </w:tc>
      </w:tr>
    </w:tbl>
    <w:p>
      <w:pPr/>
    </w:p>
    <w:p>
      <w:pPr>
        <w:spacing w:before="120" w:after="60" w:line="276" w:lineRule="auto"/>
      </w:pPr>
      <w:r>
        <w:rPr>
          <w:rFonts w:ascii="Times New Roman" w:hAnsi="Times New Roman" w:cs="Times New Roman"/>
          <w:b/>
          <w:i w:val="0"/>
          <w:sz w:val="21"/>
          <w:u w:val="none"/>
        </w:rPr>
        <w:t>P10. Suspension of the Services</w:t>
      </w:r>
    </w:p>
    <w:tbl>
      <w:tblPr>
        <w:tblStyle w:val="TableGrid"/>
        <w:tblW w:type="auto" w:w="0"/>
        <w:tblLook w:firstColumn="1" w:firstRow="1" w:lastColumn="0" w:lastRow="0" w:noHBand="0" w:noVBand="1" w:val="04A0"/>
      </w:tblPr>
      <w:tblGrid>
        <w:gridCol w:w="4680"/>
        <w:gridCol w:w="4680"/>
      </w:tblGrid>
      <w:tr>
        <w:tc>
          <w:tcPr>
            <w:tcW w:type="dxa" w:w="2160"/>
          </w:tcPr>
          <w:p>
            <w:r/>
            <w:r>
              <w:rPr>
                <w:rFonts w:ascii="Times New Roman" w:hAnsi="Times New Roman" w:cs="Times New Roman"/>
                <w:b/>
                <w:i w:val="0"/>
                <w:sz w:val="18"/>
                <w:u w:val="none"/>
              </w:rPr>
              <w:t>Field</w:t>
            </w:r>
          </w:p>
        </w:tc>
        <w:tc>
          <w:tcPr>
            <w:tcW w:type="dxa" w:w="8064"/>
          </w:tcPr>
          <w:p>
            <w:r/>
            <w:r>
              <w:rPr>
                <w:rFonts w:ascii="Times New Roman" w:hAnsi="Times New Roman" w:cs="Times New Roman"/>
                <w:b/>
                <w:i w:val="0"/>
                <w:sz w:val="18"/>
                <w:u w:val="none"/>
              </w:rPr>
              <w:t>Position</w:t>
            </w:r>
          </w:p>
        </w:tc>
      </w:tr>
      <w:tr>
        <w:tc>
          <w:tcPr>
            <w:tcW w:type="dxa" w:w="2160"/>
          </w:tcPr>
          <w:p>
            <w:r/>
            <w:r>
              <w:rPr>
                <w:rFonts w:ascii="Times New Roman" w:hAnsi="Times New Roman" w:cs="Times New Roman"/>
                <w:b w:val="0"/>
                <w:i w:val="0"/>
                <w:sz w:val="18"/>
                <w:u w:val="none"/>
              </w:rPr>
              <w:t>Ref</w:t>
            </w:r>
          </w:p>
        </w:tc>
        <w:tc>
          <w:tcPr>
            <w:tcW w:type="dxa" w:w="8064"/>
          </w:tcPr>
          <w:p>
            <w:r/>
            <w:r>
              <w:rPr>
                <w:rFonts w:ascii="Times New Roman" w:hAnsi="Times New Roman" w:cs="Times New Roman"/>
                <w:b w:val="0"/>
                <w:i w:val="0"/>
                <w:sz w:val="18"/>
                <w:u w:val="none"/>
              </w:rPr>
              <w:t>P10</w:t>
            </w:r>
          </w:p>
        </w:tc>
      </w:tr>
      <w:tr>
        <w:tc>
          <w:tcPr>
            <w:tcW w:type="dxa" w:w="2160"/>
          </w:tcPr>
          <w:p>
            <w:r/>
            <w:r>
              <w:rPr>
                <w:rFonts w:ascii="Times New Roman" w:hAnsi="Times New Roman" w:cs="Times New Roman"/>
                <w:b w:val="0"/>
                <w:i w:val="0"/>
                <w:sz w:val="18"/>
                <w:u w:val="none"/>
              </w:rPr>
              <w:t>Applies to</w:t>
            </w:r>
          </w:p>
        </w:tc>
        <w:tc>
          <w:tcPr>
            <w:tcW w:type="dxa" w:w="8064"/>
          </w:tcPr>
          <w:p>
            <w:r/>
            <w:r>
              <w:rPr>
                <w:rFonts w:ascii="Times New Roman" w:hAnsi="Times New Roman" w:cs="Times New Roman"/>
                <w:b w:val="0"/>
                <w:i w:val="0"/>
                <w:sz w:val="18"/>
                <w:u w:val="none"/>
              </w:rPr>
              <w:t>MSA</w:t>
            </w:r>
          </w:p>
        </w:tc>
      </w:tr>
      <w:tr>
        <w:tc>
          <w:tcPr>
            <w:tcW w:type="dxa" w:w="2160"/>
          </w:tcPr>
          <w:p>
            <w:r/>
            <w:r>
              <w:rPr>
                <w:rFonts w:ascii="Times New Roman" w:hAnsi="Times New Roman" w:cs="Times New Roman"/>
                <w:b w:val="0"/>
                <w:i w:val="0"/>
                <w:sz w:val="18"/>
                <w:u w:val="none"/>
              </w:rPr>
              <w:t>Standard position</w:t>
            </w:r>
          </w:p>
        </w:tc>
        <w:tc>
          <w:tcPr>
            <w:tcW w:type="dxa" w:w="8064"/>
          </w:tcPr>
          <w:p>
            <w:r/>
            <w:r>
              <w:rPr>
                <w:rFonts w:ascii="Times New Roman" w:hAnsi="Times New Roman" w:cs="Times New Roman"/>
                <w:b w:val="0"/>
                <w:i w:val="0"/>
                <w:sz w:val="18"/>
                <w:u w:val="none"/>
              </w:rPr>
              <w:t>Northwind may suspend all or part of the Services immediately where it reasonably believes continued operation would breach applicable law or present a material security risk to Customer Data, and on 10 days' written notice where the suspension arises from Customer's material breach. Suspension does not excuse Customer's obligation to pay Charges for the period of suspension.</w:t>
            </w:r>
          </w:p>
        </w:tc>
      </w:tr>
      <w:tr>
        <w:tc>
          <w:tcPr>
            <w:tcW w:type="dxa" w:w="2160"/>
          </w:tcPr>
          <w:p>
            <w:r/>
            <w:r>
              <w:rPr>
                <w:rFonts w:ascii="Times New Roman" w:hAnsi="Times New Roman" w:cs="Times New Roman"/>
                <w:b w:val="0"/>
                <w:i w:val="0"/>
                <w:sz w:val="18"/>
                <w:u w:val="none"/>
              </w:rPr>
              <w:t>Fallback 1</w:t>
            </w:r>
          </w:p>
        </w:tc>
        <w:tc>
          <w:tcPr>
            <w:tcW w:type="dxa" w:w="8064"/>
          </w:tcPr>
          <w:p>
            <w:r/>
            <w:r>
              <w:rPr>
                <w:rFonts w:ascii="Times New Roman" w:hAnsi="Times New Roman" w:cs="Times New Roman"/>
                <w:b w:val="0"/>
                <w:i w:val="0"/>
                <w:sz w:val="18"/>
                <w:u w:val="none"/>
              </w:rPr>
              <w:t>Accept a general suspension right on 15 days' written notice where continued operation would breach law or present a material security risk, and a longer suspension for Customer breach subject to the P9 cure period.</w:t>
            </w:r>
          </w:p>
        </w:tc>
      </w:tr>
      <w:tr>
        <w:tc>
          <w:tcPr>
            <w:tcW w:type="dxa" w:w="2160"/>
          </w:tcPr>
          <w:p>
            <w:r/>
            <w:r>
              <w:rPr>
                <w:rFonts w:ascii="Times New Roman" w:hAnsi="Times New Roman" w:cs="Times New Roman"/>
                <w:b w:val="0"/>
                <w:i w:val="0"/>
                <w:sz w:val="18"/>
                <w:u w:val="none"/>
              </w:rPr>
              <w:t>Fallback 2</w:t>
            </w:r>
          </w:p>
        </w:tc>
        <w:tc>
          <w:tcPr>
            <w:tcW w:type="dxa" w:w="8064"/>
          </w:tcPr>
          <w:p>
            <w:r/>
            <w:r>
              <w:rPr>
                <w:rFonts w:ascii="Times New Roman" w:hAnsi="Times New Roman" w:cs="Times New Roman"/>
                <w:b w:val="0"/>
                <w:i w:val="0"/>
                <w:sz w:val="18"/>
                <w:u w:val="none"/>
              </w:rPr>
              <w:t>Accept suspension for Customer non-payment on 30 days' notice with resumption within two business days of payment.</w:t>
            </w:r>
          </w:p>
        </w:tc>
      </w:tr>
      <w:tr>
        <w:tc>
          <w:tcPr>
            <w:tcW w:type="dxa" w:w="2160"/>
          </w:tcPr>
          <w:p>
            <w:r/>
            <w:r>
              <w:rPr>
                <w:rFonts w:ascii="Times New Roman" w:hAnsi="Times New Roman" w:cs="Times New Roman"/>
                <w:b w:val="0"/>
                <w:i w:val="0"/>
                <w:sz w:val="18"/>
                <w:u w:val="none"/>
              </w:rPr>
              <w:t>Walk-away / red line</w:t>
            </w:r>
          </w:p>
        </w:tc>
        <w:tc>
          <w:tcPr>
            <w:tcW w:type="dxa" w:w="8064"/>
          </w:tcPr>
          <w:p>
            <w:r/>
            <w:r>
              <w:rPr>
                <w:rFonts w:ascii="Times New Roman" w:hAnsi="Times New Roman" w:cs="Times New Roman"/>
                <w:b w:val="0"/>
                <w:i w:val="0"/>
                <w:sz w:val="18"/>
                <w:u w:val="none"/>
              </w:rPr>
              <w:t>A suspension right that also relieves Customer of the obligation to pay, or a suspension right exercisable 'in Northwind's sole discretion' without a stated trigger.</w:t>
            </w:r>
          </w:p>
        </w:tc>
      </w:tr>
      <w:tr>
        <w:tc>
          <w:tcPr>
            <w:tcW w:type="dxa" w:w="2160"/>
          </w:tcPr>
          <w:p>
            <w:r/>
            <w:r>
              <w:rPr>
                <w:rFonts w:ascii="Times New Roman" w:hAnsi="Times New Roman" w:cs="Times New Roman"/>
                <w:b w:val="0"/>
                <w:i w:val="0"/>
                <w:sz w:val="18"/>
                <w:u w:val="none"/>
              </w:rPr>
              <w:t>Drafting note</w:t>
            </w:r>
          </w:p>
        </w:tc>
        <w:tc>
          <w:tcPr>
            <w:tcW w:type="dxa" w:w="8064"/>
          </w:tcPr>
          <w:p>
            <w:r/>
            <w:r>
              <w:rPr>
                <w:rFonts w:ascii="Times New Roman" w:hAnsi="Times New Roman" w:cs="Times New Roman"/>
                <w:b w:val="0"/>
                <w:i w:val="0"/>
                <w:sz w:val="18"/>
                <w:u w:val="none"/>
              </w:rPr>
              <w:t>The security-driven suspension right matters in the EU and UK. Keep it even where the customer will give us a general convenience right to suspend, because it is the right that lets us respond to a regulator instruction without notice.</w:t>
            </w:r>
          </w:p>
        </w:tc>
      </w:tr>
      <w:tr>
        <w:tc>
          <w:tcPr>
            <w:tcW w:type="dxa" w:w="2160"/>
          </w:tcPr>
          <w:p>
            <w:r/>
            <w:r>
              <w:rPr>
                <w:rFonts w:ascii="Times New Roman" w:hAnsi="Times New Roman" w:cs="Times New Roman"/>
                <w:b w:val="0"/>
                <w:i w:val="0"/>
                <w:sz w:val="18"/>
                <w:u w:val="none"/>
              </w:rPr>
              <w:t>Sample wording</w:t>
            </w:r>
          </w:p>
        </w:tc>
        <w:tc>
          <w:tcPr>
            <w:tcW w:type="dxa" w:w="8064"/>
          </w:tcPr>
          <w:p>
            <w:r/>
            <w:r>
              <w:rPr>
                <w:rFonts w:ascii="Times New Roman" w:hAnsi="Times New Roman" w:cs="Times New Roman"/>
                <w:b w:val="0"/>
                <w:i w:val="0"/>
                <w:sz w:val="18"/>
                <w:u w:val="none"/>
              </w:rPr>
              <w:t>Northwind may suspend the Services or any part of them immediately where Northwind reasonably believes that continued operation would breach applicable law or would present a material risk to the security of Customer Data. Where Northwind suspends the Services as a result of Customer's material breach, Northwind shall give Customer ten (10) days' written notice. Charges are payable in respect of the period of suspension.</w:t>
            </w:r>
          </w:p>
        </w:tc>
      </w:tr>
    </w:tbl>
    <w:p>
      <w:pPr/>
    </w:p>
    <w:p>
      <w:pPr>
        <w:spacing w:before="120" w:after="60" w:line="276" w:lineRule="auto"/>
      </w:pPr>
      <w:r>
        <w:rPr>
          <w:rFonts w:ascii="Times New Roman" w:hAnsi="Times New Roman" w:cs="Times New Roman"/>
          <w:b/>
          <w:i w:val="0"/>
          <w:sz w:val="21"/>
          <w:u w:val="none"/>
        </w:rPr>
        <w:t>P11. Processor data protection obligations</w:t>
      </w:r>
    </w:p>
    <w:tbl>
      <w:tblPr>
        <w:tblStyle w:val="TableGrid"/>
        <w:tblW w:type="auto" w:w="0"/>
        <w:tblLook w:firstColumn="1" w:firstRow="1" w:lastColumn="0" w:lastRow="0" w:noHBand="0" w:noVBand="1" w:val="04A0"/>
      </w:tblPr>
      <w:tblGrid>
        <w:gridCol w:w="4680"/>
        <w:gridCol w:w="4680"/>
      </w:tblGrid>
      <w:tr>
        <w:tc>
          <w:tcPr>
            <w:tcW w:type="dxa" w:w="2160"/>
          </w:tcPr>
          <w:p>
            <w:r/>
            <w:r>
              <w:rPr>
                <w:rFonts w:ascii="Times New Roman" w:hAnsi="Times New Roman" w:cs="Times New Roman"/>
                <w:b/>
                <w:i w:val="0"/>
                <w:sz w:val="18"/>
                <w:u w:val="none"/>
              </w:rPr>
              <w:t>Field</w:t>
            </w:r>
          </w:p>
        </w:tc>
        <w:tc>
          <w:tcPr>
            <w:tcW w:type="dxa" w:w="8064"/>
          </w:tcPr>
          <w:p>
            <w:r/>
            <w:r>
              <w:rPr>
                <w:rFonts w:ascii="Times New Roman" w:hAnsi="Times New Roman" w:cs="Times New Roman"/>
                <w:b/>
                <w:i w:val="0"/>
                <w:sz w:val="18"/>
                <w:u w:val="none"/>
              </w:rPr>
              <w:t>Position</w:t>
            </w:r>
          </w:p>
        </w:tc>
      </w:tr>
      <w:tr>
        <w:tc>
          <w:tcPr>
            <w:tcW w:type="dxa" w:w="2160"/>
          </w:tcPr>
          <w:p>
            <w:r/>
            <w:r>
              <w:rPr>
                <w:rFonts w:ascii="Times New Roman" w:hAnsi="Times New Roman" w:cs="Times New Roman"/>
                <w:b w:val="0"/>
                <w:i w:val="0"/>
                <w:sz w:val="18"/>
                <w:u w:val="none"/>
              </w:rPr>
              <w:t>Ref</w:t>
            </w:r>
          </w:p>
        </w:tc>
        <w:tc>
          <w:tcPr>
            <w:tcW w:type="dxa" w:w="8064"/>
          </w:tcPr>
          <w:p>
            <w:r/>
            <w:r>
              <w:rPr>
                <w:rFonts w:ascii="Times New Roman" w:hAnsi="Times New Roman" w:cs="Times New Roman"/>
                <w:b w:val="0"/>
                <w:i w:val="0"/>
                <w:sz w:val="18"/>
                <w:u w:val="none"/>
              </w:rPr>
              <w:t>P11</w:t>
            </w:r>
          </w:p>
        </w:tc>
      </w:tr>
      <w:tr>
        <w:tc>
          <w:tcPr>
            <w:tcW w:type="dxa" w:w="2160"/>
          </w:tcPr>
          <w:p>
            <w:r/>
            <w:r>
              <w:rPr>
                <w:rFonts w:ascii="Times New Roman" w:hAnsi="Times New Roman" w:cs="Times New Roman"/>
                <w:b w:val="0"/>
                <w:i w:val="0"/>
                <w:sz w:val="18"/>
                <w:u w:val="none"/>
              </w:rPr>
              <w:t>Applies to</w:t>
            </w:r>
          </w:p>
        </w:tc>
        <w:tc>
          <w:tcPr>
            <w:tcW w:type="dxa" w:w="8064"/>
          </w:tcPr>
          <w:p>
            <w:r/>
            <w:r>
              <w:rPr>
                <w:rFonts w:ascii="Times New Roman" w:hAnsi="Times New Roman" w:cs="Times New Roman"/>
                <w:b w:val="0"/>
                <w:i w:val="0"/>
                <w:sz w:val="18"/>
                <w:u w:val="none"/>
              </w:rPr>
              <w:t>DPA, MSA</w:t>
            </w:r>
          </w:p>
        </w:tc>
      </w:tr>
      <w:tr>
        <w:tc>
          <w:tcPr>
            <w:tcW w:type="dxa" w:w="2160"/>
          </w:tcPr>
          <w:p>
            <w:r/>
            <w:r>
              <w:rPr>
                <w:rFonts w:ascii="Times New Roman" w:hAnsi="Times New Roman" w:cs="Times New Roman"/>
                <w:b w:val="0"/>
                <w:i w:val="0"/>
                <w:sz w:val="18"/>
                <w:u w:val="none"/>
              </w:rPr>
              <w:t>Standard position</w:t>
            </w:r>
          </w:p>
        </w:tc>
        <w:tc>
          <w:tcPr>
            <w:tcW w:type="dxa" w:w="8064"/>
          </w:tcPr>
          <w:p>
            <w:r/>
            <w:r>
              <w:rPr>
                <w:rFonts w:ascii="Times New Roman" w:hAnsi="Times New Roman" w:cs="Times New Roman"/>
                <w:b w:val="0"/>
                <w:i w:val="0"/>
                <w:sz w:val="18"/>
                <w:u w:val="none"/>
              </w:rPr>
              <w:t>Where Northwind processes Personal Data on Customer's behalf, the DPA must contain the Article 28 elements: documented instructions, confidentiality commitments binding personnel, Article 32 security measures, sub-processor authorisation, assistance with data subject rights, assistance with Articles 32 to 36, deletion or return at end of service, and an obligation to make information available for audits. Processing is limited to the purposes and duration in the DPA.</w:t>
            </w:r>
          </w:p>
        </w:tc>
      </w:tr>
      <w:tr>
        <w:tc>
          <w:tcPr>
            <w:tcW w:type="dxa" w:w="2160"/>
          </w:tcPr>
          <w:p>
            <w:r/>
            <w:r>
              <w:rPr>
                <w:rFonts w:ascii="Times New Roman" w:hAnsi="Times New Roman" w:cs="Times New Roman"/>
                <w:b w:val="0"/>
                <w:i w:val="0"/>
                <w:sz w:val="18"/>
                <w:u w:val="none"/>
              </w:rPr>
              <w:t>Fallback 1</w:t>
            </w:r>
          </w:p>
        </w:tc>
        <w:tc>
          <w:tcPr>
            <w:tcW w:type="dxa" w:w="8064"/>
          </w:tcPr>
          <w:p>
            <w:r/>
            <w:r>
              <w:rPr>
                <w:rFonts w:ascii="Times New Roman" w:hAnsi="Times New Roman" w:cs="Times New Roman"/>
                <w:b w:val="0"/>
                <w:i w:val="0"/>
                <w:sz w:val="18"/>
                <w:u w:val="none"/>
              </w:rPr>
              <w:t>Accept the Article 28 elements in the customer's template with our processing details, retention schedule and security annex substituted for the customer's.</w:t>
            </w:r>
          </w:p>
        </w:tc>
      </w:tr>
      <w:tr>
        <w:tc>
          <w:tcPr>
            <w:tcW w:type="dxa" w:w="2160"/>
          </w:tcPr>
          <w:p>
            <w:r/>
            <w:r>
              <w:rPr>
                <w:rFonts w:ascii="Times New Roman" w:hAnsi="Times New Roman" w:cs="Times New Roman"/>
                <w:b w:val="0"/>
                <w:i w:val="0"/>
                <w:sz w:val="18"/>
                <w:u w:val="none"/>
              </w:rPr>
              <w:t>Fallback 2</w:t>
            </w:r>
          </w:p>
        </w:tc>
        <w:tc>
          <w:tcPr>
            <w:tcW w:type="dxa" w:w="8064"/>
          </w:tcPr>
          <w:p>
            <w:r/>
            <w:r>
              <w:rPr>
                <w:rFonts w:ascii="Times New Roman" w:hAnsi="Times New Roman" w:cs="Times New Roman"/>
                <w:b w:val="0"/>
                <w:i w:val="0"/>
                <w:sz w:val="18"/>
                <w:u w:val="none"/>
              </w:rPr>
              <w:t>Accept the customer's short-form processor terms provided our standard sub-processor list, the SCC module 2 annexes and the deletion commitment are carried across unamended.</w:t>
            </w:r>
          </w:p>
        </w:tc>
      </w:tr>
      <w:tr>
        <w:tc>
          <w:tcPr>
            <w:tcW w:type="dxa" w:w="2160"/>
          </w:tcPr>
          <w:p>
            <w:r/>
            <w:r>
              <w:rPr>
                <w:rFonts w:ascii="Times New Roman" w:hAnsi="Times New Roman" w:cs="Times New Roman"/>
                <w:b w:val="0"/>
                <w:i w:val="0"/>
                <w:sz w:val="18"/>
                <w:u w:val="none"/>
              </w:rPr>
              <w:t>Walk-away / red line</w:t>
            </w:r>
          </w:p>
        </w:tc>
        <w:tc>
          <w:tcPr>
            <w:tcW w:type="dxa" w:w="8064"/>
          </w:tcPr>
          <w:p>
            <w:r/>
            <w:r>
              <w:rPr>
                <w:rFonts w:ascii="Times New Roman" w:hAnsi="Times New Roman" w:cs="Times New Roman"/>
                <w:b w:val="0"/>
                <w:i w:val="0"/>
                <w:sz w:val="18"/>
                <w:u w:val="none"/>
              </w:rPr>
              <w:t>Any obligation that makes Northwind a controller for Customer Personal Data, including any requirement to determine the purposes of processing. Also a customer right to audit Customer's own suppliers' systems directly.</w:t>
            </w:r>
          </w:p>
        </w:tc>
      </w:tr>
      <w:tr>
        <w:tc>
          <w:tcPr>
            <w:tcW w:type="dxa" w:w="2160"/>
          </w:tcPr>
          <w:p>
            <w:r/>
            <w:r>
              <w:rPr>
                <w:rFonts w:ascii="Times New Roman" w:hAnsi="Times New Roman" w:cs="Times New Roman"/>
                <w:b w:val="0"/>
                <w:i w:val="0"/>
                <w:sz w:val="18"/>
                <w:u w:val="none"/>
              </w:rPr>
              <w:t>Escalation</w:t>
            </w:r>
          </w:p>
        </w:tc>
        <w:tc>
          <w:tcPr>
            <w:tcW w:type="dxa" w:w="8064"/>
          </w:tcPr>
          <w:p>
            <w:r/>
            <w:r>
              <w:rPr>
                <w:rFonts w:ascii="Times New Roman" w:hAnsi="Times New Roman" w:cs="Times New Roman"/>
                <w:b w:val="0"/>
                <w:i w:val="0"/>
                <w:sz w:val="18"/>
                <w:u w:val="none"/>
              </w:rPr>
              <w:t>DPO for any change to the transfer mechanism or to the retention schedule.</w:t>
            </w:r>
          </w:p>
        </w:tc>
      </w:tr>
      <w:tr>
        <w:tc>
          <w:tcPr>
            <w:tcW w:type="dxa" w:w="2160"/>
          </w:tcPr>
          <w:p>
            <w:r/>
            <w:r>
              <w:rPr>
                <w:rFonts w:ascii="Times New Roman" w:hAnsi="Times New Roman" w:cs="Times New Roman"/>
                <w:b w:val="0"/>
                <w:i w:val="0"/>
                <w:sz w:val="18"/>
                <w:u w:val="none"/>
              </w:rPr>
              <w:t>Drafting note</w:t>
            </w:r>
          </w:p>
        </w:tc>
        <w:tc>
          <w:tcPr>
            <w:tcW w:type="dxa" w:w="8064"/>
          </w:tcPr>
          <w:p>
            <w:r/>
            <w:r>
              <w:rPr>
                <w:rFonts w:ascii="Times New Roman" w:hAnsi="Times New Roman" w:cs="Times New Roman"/>
                <w:b w:val="0"/>
                <w:i w:val="0"/>
                <w:sz w:val="18"/>
                <w:u w:val="none"/>
              </w:rPr>
              <w:t>Check the deletion clause against the P17 exit position. A DPA that returns or deletes on termination while the MSA carves out data for 'product improvement' is a cross-clause conflict.</w:t>
            </w:r>
          </w:p>
        </w:tc>
      </w:tr>
      <w:tr>
        <w:tc>
          <w:tcPr>
            <w:tcW w:type="dxa" w:w="2160"/>
          </w:tcPr>
          <w:p>
            <w:r/>
            <w:r>
              <w:rPr>
                <w:rFonts w:ascii="Times New Roman" w:hAnsi="Times New Roman" w:cs="Times New Roman"/>
                <w:b w:val="0"/>
                <w:i w:val="0"/>
                <w:sz w:val="18"/>
                <w:u w:val="none"/>
              </w:rPr>
              <w:t>Sample wording</w:t>
            </w:r>
          </w:p>
        </w:tc>
        <w:tc>
          <w:tcPr>
            <w:tcW w:type="dxa" w:w="8064"/>
          </w:tcPr>
          <w:p>
            <w:r/>
            <w:r>
              <w:rPr>
                <w:rFonts w:ascii="Times New Roman" w:hAnsi="Times New Roman" w:cs="Times New Roman"/>
                <w:b w:val="0"/>
                <w:i w:val="0"/>
                <w:sz w:val="18"/>
                <w:u w:val="none"/>
              </w:rPr>
              <w:t>Northwind shall process Personal Data only on documented instructions from Customer, including with regard to international transfers, unless required to do so by applicable law to which Northwind is subject, in which case Northwind shall inform Customer of that legal requirement before processing unless that law prohibits disclosure on important grounds of public interest. Northwind shall ensure that persons authorised to process Personal Data are subject to a binding duty of confidentiality. Taking into account the state of the art, the costs of implementation and the nature of the processing, Northwind shall implement and maintain appropriate technical and organisational measures designed to ensure a level of security appropriate to the risk.</w:t>
            </w:r>
          </w:p>
        </w:tc>
      </w:tr>
    </w:tbl>
    <w:p>
      <w:pPr/>
    </w:p>
    <w:p>
      <w:pPr>
        <w:spacing w:before="120" w:after="60" w:line="276" w:lineRule="auto"/>
      </w:pPr>
      <w:r>
        <w:rPr>
          <w:rFonts w:ascii="Times New Roman" w:hAnsi="Times New Roman" w:cs="Times New Roman"/>
          <w:b/>
          <w:i w:val="0"/>
          <w:sz w:val="21"/>
          <w:u w:val="none"/>
        </w:rPr>
        <w:t>P12. Sub-processors</w:t>
      </w:r>
    </w:p>
    <w:tbl>
      <w:tblPr>
        <w:tblStyle w:val="TableGrid"/>
        <w:tblW w:type="auto" w:w="0"/>
        <w:tblLook w:firstColumn="1" w:firstRow="1" w:lastColumn="0" w:lastRow="0" w:noHBand="0" w:noVBand="1" w:val="04A0"/>
      </w:tblPr>
      <w:tblGrid>
        <w:gridCol w:w="4680"/>
        <w:gridCol w:w="4680"/>
      </w:tblGrid>
      <w:tr>
        <w:tc>
          <w:tcPr>
            <w:tcW w:type="dxa" w:w="2160"/>
          </w:tcPr>
          <w:p>
            <w:r/>
            <w:r>
              <w:rPr>
                <w:rFonts w:ascii="Times New Roman" w:hAnsi="Times New Roman" w:cs="Times New Roman"/>
                <w:b/>
                <w:i w:val="0"/>
                <w:sz w:val="18"/>
                <w:u w:val="none"/>
              </w:rPr>
              <w:t>Field</w:t>
            </w:r>
          </w:p>
        </w:tc>
        <w:tc>
          <w:tcPr>
            <w:tcW w:type="dxa" w:w="8064"/>
          </w:tcPr>
          <w:p>
            <w:r/>
            <w:r>
              <w:rPr>
                <w:rFonts w:ascii="Times New Roman" w:hAnsi="Times New Roman" w:cs="Times New Roman"/>
                <w:b/>
                <w:i w:val="0"/>
                <w:sz w:val="18"/>
                <w:u w:val="none"/>
              </w:rPr>
              <w:t>Position</w:t>
            </w:r>
          </w:p>
        </w:tc>
      </w:tr>
      <w:tr>
        <w:tc>
          <w:tcPr>
            <w:tcW w:type="dxa" w:w="2160"/>
          </w:tcPr>
          <w:p>
            <w:r/>
            <w:r>
              <w:rPr>
                <w:rFonts w:ascii="Times New Roman" w:hAnsi="Times New Roman" w:cs="Times New Roman"/>
                <w:b w:val="0"/>
                <w:i w:val="0"/>
                <w:sz w:val="18"/>
                <w:u w:val="none"/>
              </w:rPr>
              <w:t>Ref</w:t>
            </w:r>
          </w:p>
        </w:tc>
        <w:tc>
          <w:tcPr>
            <w:tcW w:type="dxa" w:w="8064"/>
          </w:tcPr>
          <w:p>
            <w:r/>
            <w:r>
              <w:rPr>
                <w:rFonts w:ascii="Times New Roman" w:hAnsi="Times New Roman" w:cs="Times New Roman"/>
                <w:b w:val="0"/>
                <w:i w:val="0"/>
                <w:sz w:val="18"/>
                <w:u w:val="none"/>
              </w:rPr>
              <w:t>P12</w:t>
            </w:r>
          </w:p>
        </w:tc>
      </w:tr>
      <w:tr>
        <w:tc>
          <w:tcPr>
            <w:tcW w:type="dxa" w:w="2160"/>
          </w:tcPr>
          <w:p>
            <w:r/>
            <w:r>
              <w:rPr>
                <w:rFonts w:ascii="Times New Roman" w:hAnsi="Times New Roman" w:cs="Times New Roman"/>
                <w:b w:val="0"/>
                <w:i w:val="0"/>
                <w:sz w:val="18"/>
                <w:u w:val="none"/>
              </w:rPr>
              <w:t>Applies to</w:t>
            </w:r>
          </w:p>
        </w:tc>
        <w:tc>
          <w:tcPr>
            <w:tcW w:type="dxa" w:w="8064"/>
          </w:tcPr>
          <w:p>
            <w:r/>
            <w:r>
              <w:rPr>
                <w:rFonts w:ascii="Times New Roman" w:hAnsi="Times New Roman" w:cs="Times New Roman"/>
                <w:b w:val="0"/>
                <w:i w:val="0"/>
                <w:sz w:val="18"/>
                <w:u w:val="none"/>
              </w:rPr>
              <w:t>DPA</w:t>
            </w:r>
          </w:p>
        </w:tc>
      </w:tr>
      <w:tr>
        <w:tc>
          <w:tcPr>
            <w:tcW w:type="dxa" w:w="2160"/>
          </w:tcPr>
          <w:p>
            <w:r/>
            <w:r>
              <w:rPr>
                <w:rFonts w:ascii="Times New Roman" w:hAnsi="Times New Roman" w:cs="Times New Roman"/>
                <w:b w:val="0"/>
                <w:i w:val="0"/>
                <w:sz w:val="18"/>
                <w:u w:val="none"/>
              </w:rPr>
              <w:t>Standard position</w:t>
            </w:r>
          </w:p>
        </w:tc>
        <w:tc>
          <w:tcPr>
            <w:tcW w:type="dxa" w:w="8064"/>
          </w:tcPr>
          <w:p>
            <w:r/>
            <w:r>
              <w:rPr>
                <w:rFonts w:ascii="Times New Roman" w:hAnsi="Times New Roman" w:cs="Times New Roman"/>
                <w:b w:val="0"/>
                <w:i w:val="0"/>
                <w:sz w:val="18"/>
                <w:u w:val="none"/>
              </w:rPr>
              <w:t>Customer grants general written authorisation for sub-processors. Northwind maintains a public sub-processor list and gives at least 30 days' prior notice of any addition or replacement by email to the address in the DPA. Customer may object on reasonable data protection grounds during the notice period, and where the parties cannot agree, Customer may terminate the affected Services without penalty and receive a pro-rata refund of prepaid fees.</w:t>
            </w:r>
          </w:p>
        </w:tc>
      </w:tr>
      <w:tr>
        <w:tc>
          <w:tcPr>
            <w:tcW w:type="dxa" w:w="2160"/>
          </w:tcPr>
          <w:p>
            <w:r/>
            <w:r>
              <w:rPr>
                <w:rFonts w:ascii="Times New Roman" w:hAnsi="Times New Roman" w:cs="Times New Roman"/>
                <w:b w:val="0"/>
                <w:i w:val="0"/>
                <w:sz w:val="18"/>
                <w:u w:val="none"/>
              </w:rPr>
              <w:t>Fallback 1</w:t>
            </w:r>
          </w:p>
        </w:tc>
        <w:tc>
          <w:tcPr>
            <w:tcW w:type="dxa" w:w="8064"/>
          </w:tcPr>
          <w:p>
            <w:r/>
            <w:r>
              <w:rPr>
                <w:rFonts w:ascii="Times New Roman" w:hAnsi="Times New Roman" w:cs="Times New Roman"/>
                <w:b w:val="0"/>
                <w:i w:val="0"/>
                <w:sz w:val="18"/>
                <w:u w:val="none"/>
              </w:rPr>
              <w:t>Accept 45 days' notice with the same objection and termination mechanism.</w:t>
            </w:r>
          </w:p>
        </w:tc>
      </w:tr>
      <w:tr>
        <w:tc>
          <w:tcPr>
            <w:tcW w:type="dxa" w:w="2160"/>
          </w:tcPr>
          <w:p>
            <w:r/>
            <w:r>
              <w:rPr>
                <w:rFonts w:ascii="Times New Roman" w:hAnsi="Times New Roman" w:cs="Times New Roman"/>
                <w:b w:val="0"/>
                <w:i w:val="0"/>
                <w:sz w:val="18"/>
                <w:u w:val="none"/>
              </w:rPr>
              <w:t>Fallback 2</w:t>
            </w:r>
          </w:p>
        </w:tc>
        <w:tc>
          <w:tcPr>
            <w:tcW w:type="dxa" w:w="8064"/>
          </w:tcPr>
          <w:p>
            <w:r/>
            <w:r>
              <w:rPr>
                <w:rFonts w:ascii="Times New Roman" w:hAnsi="Times New Roman" w:cs="Times New Roman"/>
                <w:b w:val="0"/>
                <w:i w:val="0"/>
                <w:sz w:val="18"/>
                <w:u w:val="none"/>
              </w:rPr>
              <w:t>Accept 60 days' notice plus a Customer termination right limited to the affected Service rather than the whole Agreement.</w:t>
            </w:r>
          </w:p>
        </w:tc>
      </w:tr>
      <w:tr>
        <w:tc>
          <w:tcPr>
            <w:tcW w:type="dxa" w:w="2160"/>
          </w:tcPr>
          <w:p>
            <w:r/>
            <w:r>
              <w:rPr>
                <w:rFonts w:ascii="Times New Roman" w:hAnsi="Times New Roman" w:cs="Times New Roman"/>
                <w:b w:val="0"/>
                <w:i w:val="0"/>
                <w:sz w:val="18"/>
                <w:u w:val="none"/>
              </w:rPr>
              <w:t>Walk-away / red line</w:t>
            </w:r>
          </w:p>
        </w:tc>
        <w:tc>
          <w:tcPr>
            <w:tcW w:type="dxa" w:w="8064"/>
          </w:tcPr>
          <w:p>
            <w:r/>
            <w:r>
              <w:rPr>
                <w:rFonts w:ascii="Times New Roman" w:hAnsi="Times New Roman" w:cs="Times New Roman"/>
                <w:b w:val="0"/>
                <w:i w:val="0"/>
                <w:sz w:val="18"/>
                <w:u w:val="none"/>
              </w:rPr>
              <w:t>Prior specific written authorisation for every sub-processor with no objection mechanism. Also a customer veto over any sub-processor on commercial grounds.</w:t>
            </w:r>
          </w:p>
        </w:tc>
      </w:tr>
      <w:tr>
        <w:tc>
          <w:tcPr>
            <w:tcW w:type="dxa" w:w="2160"/>
          </w:tcPr>
          <w:p>
            <w:r/>
            <w:r>
              <w:rPr>
                <w:rFonts w:ascii="Times New Roman" w:hAnsi="Times New Roman" w:cs="Times New Roman"/>
                <w:b w:val="0"/>
                <w:i w:val="0"/>
                <w:sz w:val="18"/>
                <w:u w:val="none"/>
              </w:rPr>
              <w:t>Drafting note</w:t>
            </w:r>
          </w:p>
        </w:tc>
        <w:tc>
          <w:tcPr>
            <w:tcW w:type="dxa" w:w="8064"/>
          </w:tcPr>
          <w:p>
            <w:r/>
            <w:r>
              <w:rPr>
                <w:rFonts w:ascii="Times New Roman" w:hAnsi="Times New Roman" w:cs="Times New Roman"/>
                <w:b w:val="0"/>
                <w:i w:val="0"/>
                <w:sz w:val="18"/>
                <w:u w:val="none"/>
              </w:rPr>
              <w:t>Notice by email to a named role address is acceptable. A notice regime that requires the customer to 'designate an authorised representative' to receive notice creates friction that in practice stops customers exercising their rights.</w:t>
            </w:r>
          </w:p>
        </w:tc>
      </w:tr>
      <w:tr>
        <w:tc>
          <w:tcPr>
            <w:tcW w:type="dxa" w:w="2160"/>
          </w:tcPr>
          <w:p>
            <w:r/>
            <w:r>
              <w:rPr>
                <w:rFonts w:ascii="Times New Roman" w:hAnsi="Times New Roman" w:cs="Times New Roman"/>
                <w:b w:val="0"/>
                <w:i w:val="0"/>
                <w:sz w:val="18"/>
                <w:u w:val="none"/>
              </w:rPr>
              <w:t>Sample wording</w:t>
            </w:r>
          </w:p>
        </w:tc>
        <w:tc>
          <w:tcPr>
            <w:tcW w:type="dxa" w:w="8064"/>
          </w:tcPr>
          <w:p>
            <w:r/>
            <w:r>
              <w:rPr>
                <w:rFonts w:ascii="Times New Roman" w:hAnsi="Times New Roman" w:cs="Times New Roman"/>
                <w:b w:val="0"/>
                <w:i w:val="0"/>
                <w:sz w:val="18"/>
                <w:u w:val="none"/>
              </w:rPr>
              <w:t>Customer grants Northwind general written authorisation to engage Sub-processors listed in Northwind's published sub-processor register. Northwind shall give Customer at least thirty (30) days' prior written notice of any intended addition or replacement of a Sub-processor, sent to the data protection contact specified in this DPA. Customer may object to a proposed Sub-processor on reasonable grounds relating to data protection during that period. If the parties cannot resolve the objection, Customer may terminate the affected Services without penalty on written notice, and Northwind shall refund prepaid fees for the unused period.</w:t>
            </w:r>
          </w:p>
        </w:tc>
      </w:tr>
    </w:tbl>
    <w:p>
      <w:pPr/>
    </w:p>
    <w:p>
      <w:pPr>
        <w:spacing w:before="120" w:after="60" w:line="276" w:lineRule="auto"/>
      </w:pPr>
      <w:r>
        <w:rPr>
          <w:rFonts w:ascii="Times New Roman" w:hAnsi="Times New Roman" w:cs="Times New Roman"/>
          <w:b/>
          <w:i w:val="0"/>
          <w:sz w:val="21"/>
          <w:u w:val="none"/>
        </w:rPr>
        <w:t>P13. Security programme and customer audit rights</w:t>
      </w:r>
    </w:p>
    <w:tbl>
      <w:tblPr>
        <w:tblStyle w:val="TableGrid"/>
        <w:tblW w:type="auto" w:w="0"/>
        <w:tblLook w:firstColumn="1" w:firstRow="1" w:lastColumn="0" w:lastRow="0" w:noHBand="0" w:noVBand="1" w:val="04A0"/>
      </w:tblPr>
      <w:tblGrid>
        <w:gridCol w:w="4680"/>
        <w:gridCol w:w="4680"/>
      </w:tblGrid>
      <w:tr>
        <w:tc>
          <w:tcPr>
            <w:tcW w:type="dxa" w:w="2160"/>
          </w:tcPr>
          <w:p>
            <w:r/>
            <w:r>
              <w:rPr>
                <w:rFonts w:ascii="Times New Roman" w:hAnsi="Times New Roman" w:cs="Times New Roman"/>
                <w:b/>
                <w:i w:val="0"/>
                <w:sz w:val="18"/>
                <w:u w:val="none"/>
              </w:rPr>
              <w:t>Field</w:t>
            </w:r>
          </w:p>
        </w:tc>
        <w:tc>
          <w:tcPr>
            <w:tcW w:type="dxa" w:w="8064"/>
          </w:tcPr>
          <w:p>
            <w:r/>
            <w:r>
              <w:rPr>
                <w:rFonts w:ascii="Times New Roman" w:hAnsi="Times New Roman" w:cs="Times New Roman"/>
                <w:b/>
                <w:i w:val="0"/>
                <w:sz w:val="18"/>
                <w:u w:val="none"/>
              </w:rPr>
              <w:t>Position</w:t>
            </w:r>
          </w:p>
        </w:tc>
      </w:tr>
      <w:tr>
        <w:tc>
          <w:tcPr>
            <w:tcW w:type="dxa" w:w="2160"/>
          </w:tcPr>
          <w:p>
            <w:r/>
            <w:r>
              <w:rPr>
                <w:rFonts w:ascii="Times New Roman" w:hAnsi="Times New Roman" w:cs="Times New Roman"/>
                <w:b w:val="0"/>
                <w:i w:val="0"/>
                <w:sz w:val="18"/>
                <w:u w:val="none"/>
              </w:rPr>
              <w:t>Ref</w:t>
            </w:r>
          </w:p>
        </w:tc>
        <w:tc>
          <w:tcPr>
            <w:tcW w:type="dxa" w:w="8064"/>
          </w:tcPr>
          <w:p>
            <w:r/>
            <w:r>
              <w:rPr>
                <w:rFonts w:ascii="Times New Roman" w:hAnsi="Times New Roman" w:cs="Times New Roman"/>
                <w:b w:val="0"/>
                <w:i w:val="0"/>
                <w:sz w:val="18"/>
                <w:u w:val="none"/>
              </w:rPr>
              <w:t>P13</w:t>
            </w:r>
          </w:p>
        </w:tc>
      </w:tr>
      <w:tr>
        <w:tc>
          <w:tcPr>
            <w:tcW w:type="dxa" w:w="2160"/>
          </w:tcPr>
          <w:p>
            <w:r/>
            <w:r>
              <w:rPr>
                <w:rFonts w:ascii="Times New Roman" w:hAnsi="Times New Roman" w:cs="Times New Roman"/>
                <w:b w:val="0"/>
                <w:i w:val="0"/>
                <w:sz w:val="18"/>
                <w:u w:val="none"/>
              </w:rPr>
              <w:t>Applies to</w:t>
            </w:r>
          </w:p>
        </w:tc>
        <w:tc>
          <w:tcPr>
            <w:tcW w:type="dxa" w:w="8064"/>
          </w:tcPr>
          <w:p>
            <w:r/>
            <w:r>
              <w:rPr>
                <w:rFonts w:ascii="Times New Roman" w:hAnsi="Times New Roman" w:cs="Times New Roman"/>
                <w:b w:val="0"/>
                <w:i w:val="0"/>
                <w:sz w:val="18"/>
                <w:u w:val="none"/>
              </w:rPr>
              <w:t>MSA, DPA</w:t>
            </w:r>
          </w:p>
        </w:tc>
      </w:tr>
      <w:tr>
        <w:tc>
          <w:tcPr>
            <w:tcW w:type="dxa" w:w="2160"/>
          </w:tcPr>
          <w:p>
            <w:r/>
            <w:r>
              <w:rPr>
                <w:rFonts w:ascii="Times New Roman" w:hAnsi="Times New Roman" w:cs="Times New Roman"/>
                <w:b w:val="0"/>
                <w:i w:val="0"/>
                <w:sz w:val="18"/>
                <w:u w:val="none"/>
              </w:rPr>
              <w:t>Standard position</w:t>
            </w:r>
          </w:p>
        </w:tc>
        <w:tc>
          <w:tcPr>
            <w:tcW w:type="dxa" w:w="8064"/>
          </w:tcPr>
          <w:p>
            <w:r/>
            <w:r>
              <w:rPr>
                <w:rFonts w:ascii="Times New Roman" w:hAnsi="Times New Roman" w:cs="Times New Roman"/>
                <w:b w:val="0"/>
                <w:i w:val="0"/>
                <w:sz w:val="18"/>
                <w:u w:val="none"/>
              </w:rPr>
              <w:t>Northwind maintains an information security programme aligned to SOC 2 Type II and ISO 27001. Northwind makes its then-current SOC 2 Type II report available to Customer under NDA on request once a year. Customer audit rights are limited to a questionnaire-based review, and any on-site audit requires 30 days' notice, is limited to once per year, covers only the systems hosting Customer Data, and is at Customer's cost.</w:t>
            </w:r>
          </w:p>
        </w:tc>
      </w:tr>
      <w:tr>
        <w:tc>
          <w:tcPr>
            <w:tcW w:type="dxa" w:w="2160"/>
          </w:tcPr>
          <w:p>
            <w:r/>
            <w:r>
              <w:rPr>
                <w:rFonts w:ascii="Times New Roman" w:hAnsi="Times New Roman" w:cs="Times New Roman"/>
                <w:b w:val="0"/>
                <w:i w:val="0"/>
                <w:sz w:val="18"/>
                <w:u w:val="none"/>
              </w:rPr>
              <w:t>Fallback 1</w:t>
            </w:r>
          </w:p>
        </w:tc>
        <w:tc>
          <w:tcPr>
            <w:tcW w:type="dxa" w:w="8064"/>
          </w:tcPr>
          <w:p>
            <w:r/>
            <w:r>
              <w:rPr>
                <w:rFonts w:ascii="Times New Roman" w:hAnsi="Times New Roman" w:cs="Times New Roman"/>
                <w:b w:val="0"/>
                <w:i w:val="0"/>
                <w:sz w:val="18"/>
                <w:u w:val="none"/>
              </w:rPr>
              <w:t>Accept one on-site audit per year on 45 days' notice at Northwind's then-current professional services rates, provided the scope is limited to the systems processing Customer Data.</w:t>
            </w:r>
          </w:p>
        </w:tc>
      </w:tr>
      <w:tr>
        <w:tc>
          <w:tcPr>
            <w:tcW w:type="dxa" w:w="2160"/>
          </w:tcPr>
          <w:p>
            <w:r/>
            <w:r>
              <w:rPr>
                <w:rFonts w:ascii="Times New Roman" w:hAnsi="Times New Roman" w:cs="Times New Roman"/>
                <w:b w:val="0"/>
                <w:i w:val="0"/>
                <w:sz w:val="18"/>
                <w:u w:val="none"/>
              </w:rPr>
              <w:t>Fallback 2</w:t>
            </w:r>
          </w:p>
        </w:tc>
        <w:tc>
          <w:tcPr>
            <w:tcW w:type="dxa" w:w="8064"/>
          </w:tcPr>
          <w:p>
            <w:r/>
            <w:r>
              <w:rPr>
                <w:rFonts w:ascii="Times New Roman" w:hAnsi="Times New Roman" w:cs="Times New Roman"/>
                <w:b w:val="0"/>
                <w:i w:val="0"/>
                <w:sz w:val="18"/>
                <w:u w:val="none"/>
              </w:rPr>
              <w:t>Accept a Customer audit right exercised through an independent third party under NDA, with the auditor's report shared with Northwind first and Northwind given 30 days to respond to any exception before the report goes to the customer.</w:t>
            </w:r>
          </w:p>
        </w:tc>
      </w:tr>
      <w:tr>
        <w:tc>
          <w:tcPr>
            <w:tcW w:type="dxa" w:w="2160"/>
          </w:tcPr>
          <w:p>
            <w:r/>
            <w:r>
              <w:rPr>
                <w:rFonts w:ascii="Times New Roman" w:hAnsi="Times New Roman" w:cs="Times New Roman"/>
                <w:b w:val="0"/>
                <w:i w:val="0"/>
                <w:sz w:val="18"/>
                <w:u w:val="none"/>
              </w:rPr>
              <w:t>Walk-away / red line</w:t>
            </w:r>
          </w:p>
        </w:tc>
        <w:tc>
          <w:tcPr>
            <w:tcW w:type="dxa" w:w="8064"/>
          </w:tcPr>
          <w:p>
            <w:r/>
            <w:r>
              <w:rPr>
                <w:rFonts w:ascii="Times New Roman" w:hAnsi="Times New Roman" w:cs="Times New Roman"/>
                <w:b w:val="0"/>
                <w:i w:val="0"/>
                <w:sz w:val="18"/>
                <w:u w:val="none"/>
              </w:rPr>
              <w:t>Unlimited on-site audit rights, audit rights exercisable more than once a year, or an audit right that extends to Northwind's corporate systems, other customers' systems, or Northwind's internal security operations. Also any obligation to produce our SOC 2 report on a fixed cadence without an NDA.</w:t>
            </w:r>
          </w:p>
        </w:tc>
      </w:tr>
      <w:tr>
        <w:tc>
          <w:tcPr>
            <w:tcW w:type="dxa" w:w="2160"/>
          </w:tcPr>
          <w:p>
            <w:r/>
            <w:r>
              <w:rPr>
                <w:rFonts w:ascii="Times New Roman" w:hAnsi="Times New Roman" w:cs="Times New Roman"/>
                <w:b w:val="0"/>
                <w:i w:val="0"/>
                <w:sz w:val="18"/>
                <w:u w:val="none"/>
              </w:rPr>
              <w:t>Drafting note</w:t>
            </w:r>
          </w:p>
        </w:tc>
        <w:tc>
          <w:tcPr>
            <w:tcW w:type="dxa" w:w="8064"/>
          </w:tcPr>
          <w:p>
            <w:r/>
            <w:r>
              <w:rPr>
                <w:rFonts w:ascii="Times New Roman" w:hAnsi="Times New Roman" w:cs="Times New Roman"/>
                <w:b w:val="0"/>
                <w:i w:val="0"/>
                <w:sz w:val="18"/>
                <w:u w:val="none"/>
              </w:rPr>
              <w:t>If a customer insists on an on-site audit, offer the third-party route first. The third-party route satisfies most enterprise security teams because it is the route they use for everyone else.</w:t>
            </w:r>
          </w:p>
        </w:tc>
      </w:tr>
      <w:tr>
        <w:tc>
          <w:tcPr>
            <w:tcW w:type="dxa" w:w="2160"/>
          </w:tcPr>
          <w:p>
            <w:r/>
            <w:r>
              <w:rPr>
                <w:rFonts w:ascii="Times New Roman" w:hAnsi="Times New Roman" w:cs="Times New Roman"/>
                <w:b w:val="0"/>
                <w:i w:val="0"/>
                <w:sz w:val="18"/>
                <w:u w:val="none"/>
              </w:rPr>
              <w:t>Sample wording</w:t>
            </w:r>
          </w:p>
        </w:tc>
        <w:tc>
          <w:tcPr>
            <w:tcW w:type="dxa" w:w="8064"/>
          </w:tcPr>
          <w:p>
            <w:r/>
            <w:r>
              <w:rPr>
                <w:rFonts w:ascii="Times New Roman" w:hAnsi="Times New Roman" w:cs="Times New Roman"/>
                <w:b w:val="0"/>
                <w:i w:val="0"/>
                <w:sz w:val="18"/>
                <w:u w:val="none"/>
              </w:rPr>
              <w:t>Northwind shall maintain an information security programme that includes, at a minimum, annual SOC 2 Type II attestation and ISO 27001 certification. Northwind shall make its then-current SOC 2 Type II report available to Customer under a confidentiality agreement not more than once in any twelve (12) month period. Any audit of Northwind's systems by or on behalf of Customer requires thirty (30) days' prior written notice, shall be conducted no more than once in any twelve (12) month period, shall be limited to systems that process Customer Data, and shall be at Customer's cost.</w:t>
            </w:r>
          </w:p>
        </w:tc>
      </w:tr>
    </w:tbl>
    <w:p>
      <w:pPr/>
    </w:p>
    <w:p>
      <w:pPr>
        <w:spacing w:before="120" w:after="60" w:line="276" w:lineRule="auto"/>
      </w:pPr>
      <w:r>
        <w:rPr>
          <w:rFonts w:ascii="Times New Roman" w:hAnsi="Times New Roman" w:cs="Times New Roman"/>
          <w:b/>
          <w:i w:val="0"/>
          <w:sz w:val="21"/>
          <w:u w:val="none"/>
        </w:rPr>
        <w:t>P14. Confidentiality</w:t>
      </w:r>
    </w:p>
    <w:tbl>
      <w:tblPr>
        <w:tblStyle w:val="TableGrid"/>
        <w:tblW w:type="auto" w:w="0"/>
        <w:tblLook w:firstColumn="1" w:firstRow="1" w:lastColumn="0" w:lastRow="0" w:noHBand="0" w:noVBand="1" w:val="04A0"/>
      </w:tblPr>
      <w:tblGrid>
        <w:gridCol w:w="4680"/>
        <w:gridCol w:w="4680"/>
      </w:tblGrid>
      <w:tr>
        <w:tc>
          <w:tcPr>
            <w:tcW w:type="dxa" w:w="2160"/>
          </w:tcPr>
          <w:p>
            <w:r/>
            <w:r>
              <w:rPr>
                <w:rFonts w:ascii="Times New Roman" w:hAnsi="Times New Roman" w:cs="Times New Roman"/>
                <w:b/>
                <w:i w:val="0"/>
                <w:sz w:val="18"/>
                <w:u w:val="none"/>
              </w:rPr>
              <w:t>Field</w:t>
            </w:r>
          </w:p>
        </w:tc>
        <w:tc>
          <w:tcPr>
            <w:tcW w:type="dxa" w:w="8064"/>
          </w:tcPr>
          <w:p>
            <w:r/>
            <w:r>
              <w:rPr>
                <w:rFonts w:ascii="Times New Roman" w:hAnsi="Times New Roman" w:cs="Times New Roman"/>
                <w:b/>
                <w:i w:val="0"/>
                <w:sz w:val="18"/>
                <w:u w:val="none"/>
              </w:rPr>
              <w:t>Position</w:t>
            </w:r>
          </w:p>
        </w:tc>
      </w:tr>
      <w:tr>
        <w:tc>
          <w:tcPr>
            <w:tcW w:type="dxa" w:w="2160"/>
          </w:tcPr>
          <w:p>
            <w:r/>
            <w:r>
              <w:rPr>
                <w:rFonts w:ascii="Times New Roman" w:hAnsi="Times New Roman" w:cs="Times New Roman"/>
                <w:b w:val="0"/>
                <w:i w:val="0"/>
                <w:sz w:val="18"/>
                <w:u w:val="none"/>
              </w:rPr>
              <w:t>Ref</w:t>
            </w:r>
          </w:p>
        </w:tc>
        <w:tc>
          <w:tcPr>
            <w:tcW w:type="dxa" w:w="8064"/>
          </w:tcPr>
          <w:p>
            <w:r/>
            <w:r>
              <w:rPr>
                <w:rFonts w:ascii="Times New Roman" w:hAnsi="Times New Roman" w:cs="Times New Roman"/>
                <w:b w:val="0"/>
                <w:i w:val="0"/>
                <w:sz w:val="18"/>
                <w:u w:val="none"/>
              </w:rPr>
              <w:t>P14</w:t>
            </w:r>
          </w:p>
        </w:tc>
      </w:tr>
      <w:tr>
        <w:tc>
          <w:tcPr>
            <w:tcW w:type="dxa" w:w="2160"/>
          </w:tcPr>
          <w:p>
            <w:r/>
            <w:r>
              <w:rPr>
                <w:rFonts w:ascii="Times New Roman" w:hAnsi="Times New Roman" w:cs="Times New Roman"/>
                <w:b w:val="0"/>
                <w:i w:val="0"/>
                <w:sz w:val="18"/>
                <w:u w:val="none"/>
              </w:rPr>
              <w:t>Applies to</w:t>
            </w:r>
          </w:p>
        </w:tc>
        <w:tc>
          <w:tcPr>
            <w:tcW w:type="dxa" w:w="8064"/>
          </w:tcPr>
          <w:p>
            <w:r/>
            <w:r>
              <w:rPr>
                <w:rFonts w:ascii="Times New Roman" w:hAnsi="Times New Roman" w:cs="Times New Roman"/>
                <w:b w:val="0"/>
                <w:i w:val="0"/>
                <w:sz w:val="18"/>
                <w:u w:val="none"/>
              </w:rPr>
              <w:t>MSA, mutual NDA, one-way NDA</w:t>
            </w:r>
          </w:p>
        </w:tc>
      </w:tr>
      <w:tr>
        <w:tc>
          <w:tcPr>
            <w:tcW w:type="dxa" w:w="2160"/>
          </w:tcPr>
          <w:p>
            <w:r/>
            <w:r>
              <w:rPr>
                <w:rFonts w:ascii="Times New Roman" w:hAnsi="Times New Roman" w:cs="Times New Roman"/>
                <w:b w:val="0"/>
                <w:i w:val="0"/>
                <w:sz w:val="18"/>
                <w:u w:val="none"/>
              </w:rPr>
              <w:t>Standard position</w:t>
            </w:r>
          </w:p>
        </w:tc>
        <w:tc>
          <w:tcPr>
            <w:tcW w:type="dxa" w:w="8064"/>
          </w:tcPr>
          <w:p>
            <w:r/>
            <w:r>
              <w:rPr>
                <w:rFonts w:ascii="Times New Roman" w:hAnsi="Times New Roman" w:cs="Times New Roman"/>
                <w:b w:val="0"/>
                <w:i w:val="0"/>
                <w:sz w:val="18"/>
                <w:u w:val="none"/>
              </w:rPr>
              <w:t>Mutual confidentiality obligations limited to Confidential Information used for the purposes of the Agreement, with the usual exclusions (public domain, independently developed, lawfully received from a third party, compelled by law with notice where lawful). Permitted disclosure to personnel, professional advisers and contractors on a need-to-know basis, each bound by equivalent obligations. No use of Confidential Information for competitive analysis or benchmarking, and no obligation to disclose Confidential Information in a tender process. Term of the confidentiality obligation is five years from disclosure, with trade secrets protected for so long as they remain trade secrets.</w:t>
            </w:r>
          </w:p>
        </w:tc>
      </w:tr>
      <w:tr>
        <w:tc>
          <w:tcPr>
            <w:tcW w:type="dxa" w:w="2160"/>
          </w:tcPr>
          <w:p>
            <w:r/>
            <w:r>
              <w:rPr>
                <w:rFonts w:ascii="Times New Roman" w:hAnsi="Times New Roman" w:cs="Times New Roman"/>
                <w:b w:val="0"/>
                <w:i w:val="0"/>
                <w:sz w:val="18"/>
                <w:u w:val="none"/>
              </w:rPr>
              <w:t>Fallback 1</w:t>
            </w:r>
          </w:p>
        </w:tc>
        <w:tc>
          <w:tcPr>
            <w:tcW w:type="dxa" w:w="8064"/>
          </w:tcPr>
          <w:p>
            <w:r/>
            <w:r>
              <w:rPr>
                <w:rFonts w:ascii="Times New Roman" w:hAnsi="Times New Roman" w:cs="Times New Roman"/>
                <w:b w:val="0"/>
                <w:i w:val="0"/>
                <w:sz w:val="18"/>
                <w:u w:val="none"/>
              </w:rPr>
              <w:t>Accept a three-year confidentiality term where the counterparty will not accept five, but keep perpetual protection for trade secrets and keep the prohibition on use for competitive purposes.</w:t>
            </w:r>
          </w:p>
        </w:tc>
      </w:tr>
      <w:tr>
        <w:tc>
          <w:tcPr>
            <w:tcW w:type="dxa" w:w="2160"/>
          </w:tcPr>
          <w:p>
            <w:r/>
            <w:r>
              <w:rPr>
                <w:rFonts w:ascii="Times New Roman" w:hAnsi="Times New Roman" w:cs="Times New Roman"/>
                <w:b w:val="0"/>
                <w:i w:val="0"/>
                <w:sz w:val="18"/>
                <w:u w:val="none"/>
              </w:rPr>
              <w:t>Fallback 2</w:t>
            </w:r>
          </w:p>
        </w:tc>
        <w:tc>
          <w:tcPr>
            <w:tcW w:type="dxa" w:w="8064"/>
          </w:tcPr>
          <w:p>
            <w:r/>
            <w:r>
              <w:rPr>
                <w:rFonts w:ascii="Times New Roman" w:hAnsi="Times New Roman" w:cs="Times New Roman"/>
                <w:b w:val="0"/>
                <w:i w:val="0"/>
                <w:sz w:val="18"/>
                <w:u w:val="none"/>
              </w:rPr>
              <w:t>Accept a five-year term with a residual-knowledge exception allowing use of unaided memory, but keep the ban on benchmarking and on use for competitive analysis.</w:t>
            </w:r>
          </w:p>
        </w:tc>
      </w:tr>
      <w:tr>
        <w:tc>
          <w:tcPr>
            <w:tcW w:type="dxa" w:w="2160"/>
          </w:tcPr>
          <w:p>
            <w:r/>
            <w:r>
              <w:rPr>
                <w:rFonts w:ascii="Times New Roman" w:hAnsi="Times New Roman" w:cs="Times New Roman"/>
                <w:b w:val="0"/>
                <w:i w:val="0"/>
                <w:sz w:val="18"/>
                <w:u w:val="none"/>
              </w:rPr>
              <w:t>Walk-away / red line</w:t>
            </w:r>
          </w:p>
        </w:tc>
        <w:tc>
          <w:tcPr>
            <w:tcW w:type="dxa" w:w="8064"/>
          </w:tcPr>
          <w:p>
            <w:r/>
            <w:r>
              <w:rPr>
                <w:rFonts w:ascii="Times New Roman" w:hAnsi="Times New Roman" w:cs="Times New Roman"/>
                <w:b w:val="0"/>
                <w:i w:val="0"/>
                <w:sz w:val="18"/>
                <w:u w:val="none"/>
              </w:rPr>
              <w:t>Any obligation that permits use of our Confidential Information for competitive analysis, benchmarking, or for the benefit of a competitor. Also a reciprocal obligation to share our pricing, roadmap or product architecture.</w:t>
            </w:r>
          </w:p>
        </w:tc>
      </w:tr>
      <w:tr>
        <w:tc>
          <w:tcPr>
            <w:tcW w:type="dxa" w:w="2160"/>
          </w:tcPr>
          <w:p>
            <w:r/>
            <w:r>
              <w:rPr>
                <w:rFonts w:ascii="Times New Roman" w:hAnsi="Times New Roman" w:cs="Times New Roman"/>
                <w:b w:val="0"/>
                <w:i w:val="0"/>
                <w:sz w:val="18"/>
                <w:u w:val="none"/>
              </w:rPr>
              <w:t>Drafting note</w:t>
            </w:r>
          </w:p>
        </w:tc>
        <w:tc>
          <w:tcPr>
            <w:tcW w:type="dxa" w:w="8064"/>
          </w:tcPr>
          <w:p>
            <w:r/>
            <w:r>
              <w:rPr>
                <w:rFonts w:ascii="Times New Roman" w:hAnsi="Times New Roman" w:cs="Times New Roman"/>
                <w:b w:val="0"/>
                <w:i w:val="0"/>
                <w:sz w:val="18"/>
                <w:u w:val="none"/>
              </w:rPr>
              <w:t>Two traps. First, a definition of Confidential Information that captures information 'that we consider confidential' pulls in our own unreleased roadmap, which we may not want to be locked up for five years. Second, a residual-knowledge carve-out in our favour is worthless in Delaware and California; do not spend a concession on it.</w:t>
            </w:r>
          </w:p>
        </w:tc>
      </w:tr>
      <w:tr>
        <w:tc>
          <w:tcPr>
            <w:tcW w:type="dxa" w:w="2160"/>
          </w:tcPr>
          <w:p>
            <w:r/>
            <w:r>
              <w:rPr>
                <w:rFonts w:ascii="Times New Roman" w:hAnsi="Times New Roman" w:cs="Times New Roman"/>
                <w:b w:val="0"/>
                <w:i w:val="0"/>
                <w:sz w:val="18"/>
                <w:u w:val="none"/>
              </w:rPr>
              <w:t>Sample wording</w:t>
            </w:r>
          </w:p>
        </w:tc>
        <w:tc>
          <w:tcPr>
            <w:tcW w:type="dxa" w:w="8064"/>
          </w:tcPr>
          <w:p>
            <w:r/>
            <w:r>
              <w:rPr>
                <w:rFonts w:ascii="Times New Roman" w:hAnsi="Times New Roman" w:cs="Times New Roman"/>
                <w:b w:val="0"/>
                <w:i w:val="0"/>
                <w:sz w:val="18"/>
                <w:u w:val="none"/>
              </w:rPr>
              <w:t>Each party shall keep the other party's Confidential Information confidential, shall use it only for the purposes of this Agreement, and shall not disclose it except to its personnel and professional advisers who need to know it for those purposes and who are bound by confidentiality obligations no less protective than those in this Section. Neither party shall use the other party's Confidential Information for competitive analysis or benchmarking. These obligations do not apply to information that is or becomes public through no breach of this Agreement, that the receiving party developed independently, or that it lawfully received from a third party without restriction.</w:t>
            </w:r>
          </w:p>
        </w:tc>
      </w:tr>
    </w:tbl>
    <w:p>
      <w:pPr/>
    </w:p>
    <w:p>
      <w:pPr>
        <w:spacing w:before="120" w:after="60" w:line="276" w:lineRule="auto"/>
      </w:pPr>
      <w:r>
        <w:rPr>
          <w:rFonts w:ascii="Times New Roman" w:hAnsi="Times New Roman" w:cs="Times New Roman"/>
          <w:b/>
          <w:i w:val="0"/>
          <w:sz w:val="21"/>
          <w:u w:val="none"/>
        </w:rPr>
        <w:t>P15. Customer data ownership, derived data and telemetry</w:t>
      </w:r>
    </w:p>
    <w:tbl>
      <w:tblPr>
        <w:tblStyle w:val="TableGrid"/>
        <w:tblW w:type="auto" w:w="0"/>
        <w:tblLook w:firstColumn="1" w:firstRow="1" w:lastColumn="0" w:lastRow="0" w:noHBand="0" w:noVBand="1" w:val="04A0"/>
      </w:tblPr>
      <w:tblGrid>
        <w:gridCol w:w="4680"/>
        <w:gridCol w:w="4680"/>
      </w:tblGrid>
      <w:tr>
        <w:tc>
          <w:tcPr>
            <w:tcW w:type="dxa" w:w="2160"/>
          </w:tcPr>
          <w:p>
            <w:r/>
            <w:r>
              <w:rPr>
                <w:rFonts w:ascii="Times New Roman" w:hAnsi="Times New Roman" w:cs="Times New Roman"/>
                <w:b/>
                <w:i w:val="0"/>
                <w:sz w:val="18"/>
                <w:u w:val="none"/>
              </w:rPr>
              <w:t>Field</w:t>
            </w:r>
          </w:p>
        </w:tc>
        <w:tc>
          <w:tcPr>
            <w:tcW w:type="dxa" w:w="8064"/>
          </w:tcPr>
          <w:p>
            <w:r/>
            <w:r>
              <w:rPr>
                <w:rFonts w:ascii="Times New Roman" w:hAnsi="Times New Roman" w:cs="Times New Roman"/>
                <w:b/>
                <w:i w:val="0"/>
                <w:sz w:val="18"/>
                <w:u w:val="none"/>
              </w:rPr>
              <w:t>Position</w:t>
            </w:r>
          </w:p>
        </w:tc>
      </w:tr>
      <w:tr>
        <w:tc>
          <w:tcPr>
            <w:tcW w:type="dxa" w:w="2160"/>
          </w:tcPr>
          <w:p>
            <w:r/>
            <w:r>
              <w:rPr>
                <w:rFonts w:ascii="Times New Roman" w:hAnsi="Times New Roman" w:cs="Times New Roman"/>
                <w:b w:val="0"/>
                <w:i w:val="0"/>
                <w:sz w:val="18"/>
                <w:u w:val="none"/>
              </w:rPr>
              <w:t>Ref</w:t>
            </w:r>
          </w:p>
        </w:tc>
        <w:tc>
          <w:tcPr>
            <w:tcW w:type="dxa" w:w="8064"/>
          </w:tcPr>
          <w:p>
            <w:r/>
            <w:r>
              <w:rPr>
                <w:rFonts w:ascii="Times New Roman" w:hAnsi="Times New Roman" w:cs="Times New Roman"/>
                <w:b w:val="0"/>
                <w:i w:val="0"/>
                <w:sz w:val="18"/>
                <w:u w:val="none"/>
              </w:rPr>
              <w:t>P15</w:t>
            </w:r>
          </w:p>
        </w:tc>
      </w:tr>
      <w:tr>
        <w:tc>
          <w:tcPr>
            <w:tcW w:type="dxa" w:w="2160"/>
          </w:tcPr>
          <w:p>
            <w:r/>
            <w:r>
              <w:rPr>
                <w:rFonts w:ascii="Times New Roman" w:hAnsi="Times New Roman" w:cs="Times New Roman"/>
                <w:b w:val="0"/>
                <w:i w:val="0"/>
                <w:sz w:val="18"/>
                <w:u w:val="none"/>
              </w:rPr>
              <w:t>Applies to</w:t>
            </w:r>
          </w:p>
        </w:tc>
        <w:tc>
          <w:tcPr>
            <w:tcW w:type="dxa" w:w="8064"/>
          </w:tcPr>
          <w:p>
            <w:r/>
            <w:r>
              <w:rPr>
                <w:rFonts w:ascii="Times New Roman" w:hAnsi="Times New Roman" w:cs="Times New Roman"/>
                <w:b w:val="0"/>
                <w:i w:val="0"/>
                <w:sz w:val="18"/>
                <w:u w:val="none"/>
              </w:rPr>
              <w:t>MSA, order form, DPA</w:t>
            </w:r>
          </w:p>
        </w:tc>
      </w:tr>
      <w:tr>
        <w:tc>
          <w:tcPr>
            <w:tcW w:type="dxa" w:w="2160"/>
          </w:tcPr>
          <w:p>
            <w:r/>
            <w:r>
              <w:rPr>
                <w:rFonts w:ascii="Times New Roman" w:hAnsi="Times New Roman" w:cs="Times New Roman"/>
                <w:b w:val="0"/>
                <w:i w:val="0"/>
                <w:sz w:val="18"/>
                <w:u w:val="none"/>
              </w:rPr>
              <w:t>Standard position</w:t>
            </w:r>
          </w:p>
        </w:tc>
        <w:tc>
          <w:tcPr>
            <w:tcW w:type="dxa" w:w="8064"/>
          </w:tcPr>
          <w:p>
            <w:r/>
            <w:r>
              <w:rPr>
                <w:rFonts w:ascii="Times New Roman" w:hAnsi="Times New Roman" w:cs="Times New Roman"/>
                <w:b w:val="0"/>
                <w:i w:val="0"/>
                <w:sz w:val="18"/>
                <w:u w:val="none"/>
              </w:rPr>
              <w:t>Customer owns Customer Data as between the parties. Northwind owns the Services, all improvements to them, and Aggregated Data, where Aggregated Data means service telemetry, usage statistics and derived data that do not identify Customer, Customer's users or any individual, and from which Customer Data cannot be reconstructed. Northwind may use Customer Data only to perform the Services, and may not sell it or use it to build models for third parties.</w:t>
            </w:r>
          </w:p>
        </w:tc>
      </w:tr>
      <w:tr>
        <w:tc>
          <w:tcPr>
            <w:tcW w:type="dxa" w:w="2160"/>
          </w:tcPr>
          <w:p>
            <w:r/>
            <w:r>
              <w:rPr>
                <w:rFonts w:ascii="Times New Roman" w:hAnsi="Times New Roman" w:cs="Times New Roman"/>
                <w:b w:val="0"/>
                <w:i w:val="0"/>
                <w:sz w:val="18"/>
                <w:u w:val="none"/>
              </w:rPr>
              <w:t>Fallback 1</w:t>
            </w:r>
          </w:p>
        </w:tc>
        <w:tc>
          <w:tcPr>
            <w:tcW w:type="dxa" w:w="8064"/>
          </w:tcPr>
          <w:p>
            <w:r/>
            <w:r>
              <w:rPr>
                <w:rFonts w:ascii="Times New Roman" w:hAnsi="Times New Roman" w:cs="Times New Roman"/>
                <w:b w:val="0"/>
                <w:i w:val="0"/>
                <w:sz w:val="18"/>
                <w:u w:val="none"/>
              </w:rPr>
              <w:t>Accept the same definitions with 'Aggregated Data' extended to include de-identified, aggregated and anonymised operational data, with an express commitment not to attempt to re-identify it.</w:t>
            </w:r>
          </w:p>
        </w:tc>
      </w:tr>
      <w:tr>
        <w:tc>
          <w:tcPr>
            <w:tcW w:type="dxa" w:w="2160"/>
          </w:tcPr>
          <w:p>
            <w:r/>
            <w:r>
              <w:rPr>
                <w:rFonts w:ascii="Times New Roman" w:hAnsi="Times New Roman" w:cs="Times New Roman"/>
                <w:b w:val="0"/>
                <w:i w:val="0"/>
                <w:sz w:val="18"/>
                <w:u w:val="none"/>
              </w:rPr>
              <w:t>Fallback 2</w:t>
            </w:r>
          </w:p>
        </w:tc>
        <w:tc>
          <w:tcPr>
            <w:tcW w:type="dxa" w:w="8064"/>
          </w:tcPr>
          <w:p>
            <w:r/>
            <w:r>
              <w:rPr>
                <w:rFonts w:ascii="Times New Roman" w:hAnsi="Times New Roman" w:cs="Times New Roman"/>
                <w:b w:val="0"/>
                <w:i w:val="0"/>
                <w:sz w:val="18"/>
                <w:u w:val="none"/>
              </w:rPr>
              <w:t>Accept Northwind's right to retain anonymised, aggregated usage data indefinitely after termination, provided it is not used to provide a competing product or to train a model for a third party.</w:t>
            </w:r>
          </w:p>
        </w:tc>
      </w:tr>
      <w:tr>
        <w:tc>
          <w:tcPr>
            <w:tcW w:type="dxa" w:w="2160"/>
          </w:tcPr>
          <w:p>
            <w:r/>
            <w:r>
              <w:rPr>
                <w:rFonts w:ascii="Times New Roman" w:hAnsi="Times New Roman" w:cs="Times New Roman"/>
                <w:b w:val="0"/>
                <w:i w:val="0"/>
                <w:sz w:val="18"/>
                <w:u w:val="none"/>
              </w:rPr>
              <w:t>Walk-away / red line</w:t>
            </w:r>
          </w:p>
        </w:tc>
        <w:tc>
          <w:tcPr>
            <w:tcW w:type="dxa" w:w="8064"/>
          </w:tcPr>
          <w:p>
            <w:r/>
            <w:r>
              <w:rPr>
                <w:rFonts w:ascii="Times New Roman" w:hAnsi="Times New Roman" w:cs="Times New Roman"/>
                <w:b w:val="0"/>
                <w:i w:val="0"/>
                <w:sz w:val="18"/>
                <w:u w:val="none"/>
              </w:rPr>
              <w:t>Any clause giving Northwind a licence to Customer Data for model training, product development for third parties, or any sale or sharing of Customer Data with any third party. Also 'Derived Data' defined broadly enough to include anything derived from Customer Data, which is a licence in all but name.</w:t>
            </w:r>
          </w:p>
        </w:tc>
      </w:tr>
      <w:tr>
        <w:tc>
          <w:tcPr>
            <w:tcW w:type="dxa" w:w="2160"/>
          </w:tcPr>
          <w:p>
            <w:r/>
            <w:r>
              <w:rPr>
                <w:rFonts w:ascii="Times New Roman" w:hAnsi="Times New Roman" w:cs="Times New Roman"/>
                <w:b w:val="0"/>
                <w:i w:val="0"/>
                <w:sz w:val="18"/>
                <w:u w:val="none"/>
              </w:rPr>
              <w:t>Escalation</w:t>
            </w:r>
          </w:p>
        </w:tc>
        <w:tc>
          <w:tcPr>
            <w:tcW w:type="dxa" w:w="8064"/>
          </w:tcPr>
          <w:p>
            <w:r/>
            <w:r>
              <w:rPr>
                <w:rFonts w:ascii="Times New Roman" w:hAnsi="Times New Roman" w:cs="Times New Roman"/>
                <w:b w:val="0"/>
                <w:i w:val="0"/>
                <w:sz w:val="18"/>
                <w:u w:val="none"/>
              </w:rPr>
              <w:t>Privacy Lead for any model-training language.</w:t>
            </w:r>
          </w:p>
        </w:tc>
      </w:tr>
      <w:tr>
        <w:tc>
          <w:tcPr>
            <w:tcW w:type="dxa" w:w="2160"/>
          </w:tcPr>
          <w:p>
            <w:r/>
            <w:r>
              <w:rPr>
                <w:rFonts w:ascii="Times New Roman" w:hAnsi="Times New Roman" w:cs="Times New Roman"/>
                <w:b w:val="0"/>
                <w:i w:val="0"/>
                <w:sz w:val="18"/>
                <w:u w:val="none"/>
              </w:rPr>
              <w:t>Drafting note</w:t>
            </w:r>
          </w:p>
        </w:tc>
        <w:tc>
          <w:tcPr>
            <w:tcW w:type="dxa" w:w="8064"/>
          </w:tcPr>
          <w:p>
            <w:r/>
            <w:r>
              <w:rPr>
                <w:rFonts w:ascii="Times New Roman" w:hAnsi="Times New Roman" w:cs="Times New Roman"/>
                <w:b w:val="0"/>
                <w:i w:val="0"/>
                <w:sz w:val="18"/>
                <w:u w:val="none"/>
              </w:rPr>
              <w:t>Watch for the word 'Derived Data' in the definitions and then for its use in the IP clause. If the definition sweeps in anything derived from Customer Data and the IP clause assigns it to us, the licence grant in P16 is being widened by the back door. Check both when reading an unfamiliar draft.</w:t>
            </w:r>
          </w:p>
        </w:tc>
      </w:tr>
      <w:tr>
        <w:tc>
          <w:tcPr>
            <w:tcW w:type="dxa" w:w="2160"/>
          </w:tcPr>
          <w:p>
            <w:r/>
            <w:r>
              <w:rPr>
                <w:rFonts w:ascii="Times New Roman" w:hAnsi="Times New Roman" w:cs="Times New Roman"/>
                <w:b w:val="0"/>
                <w:i w:val="0"/>
                <w:sz w:val="18"/>
                <w:u w:val="none"/>
              </w:rPr>
              <w:t>Sample wording</w:t>
            </w:r>
          </w:p>
        </w:tc>
        <w:tc>
          <w:tcPr>
            <w:tcW w:type="dxa" w:w="8064"/>
          </w:tcPr>
          <w:p>
            <w:r/>
            <w:r>
              <w:rPr>
                <w:rFonts w:ascii="Times New Roman" w:hAnsi="Times New Roman" w:cs="Times New Roman"/>
                <w:b w:val="0"/>
                <w:i w:val="0"/>
                <w:sz w:val="18"/>
                <w:u w:val="none"/>
              </w:rPr>
              <w:t>As between the parties, Customer retains all right, title and interest in and to Customer Data. Northwind retains all right, title and interest in and to the Services, any improvements or derivatives of the Services, and Aggregated Data. 'Aggregated Data' means data relating to Customer's use of the Services that has been stripped of identifiers and combined with data from other sources, and from which Customer Data and any Personal Data cannot be derived or reconstructed. Northwind may use Customer Data solely to perform the Services.</w:t>
            </w:r>
          </w:p>
        </w:tc>
      </w:tr>
    </w:tbl>
    <w:p>
      <w:pPr/>
    </w:p>
    <w:p>
      <w:pPr>
        <w:spacing w:before="120" w:after="60" w:line="276" w:lineRule="auto"/>
      </w:pPr>
      <w:r>
        <w:rPr>
          <w:rFonts w:ascii="Times New Roman" w:hAnsi="Times New Roman" w:cs="Times New Roman"/>
          <w:b/>
          <w:i w:val="0"/>
          <w:sz w:val="21"/>
          <w:u w:val="none"/>
        </w:rPr>
        <w:t>P16. Licence grant and use restrictions</w:t>
      </w:r>
    </w:p>
    <w:tbl>
      <w:tblPr>
        <w:tblStyle w:val="TableGrid"/>
        <w:tblW w:type="auto" w:w="0"/>
        <w:tblLook w:firstColumn="1" w:firstRow="1" w:lastColumn="0" w:lastRow="0" w:noHBand="0" w:noVBand="1" w:val="04A0"/>
      </w:tblPr>
      <w:tblGrid>
        <w:gridCol w:w="4680"/>
        <w:gridCol w:w="4680"/>
      </w:tblGrid>
      <w:tr>
        <w:tc>
          <w:tcPr>
            <w:tcW w:type="dxa" w:w="2160"/>
          </w:tcPr>
          <w:p>
            <w:r/>
            <w:r>
              <w:rPr>
                <w:rFonts w:ascii="Times New Roman" w:hAnsi="Times New Roman" w:cs="Times New Roman"/>
                <w:b/>
                <w:i w:val="0"/>
                <w:sz w:val="18"/>
                <w:u w:val="none"/>
              </w:rPr>
              <w:t>Field</w:t>
            </w:r>
          </w:p>
        </w:tc>
        <w:tc>
          <w:tcPr>
            <w:tcW w:type="dxa" w:w="8064"/>
          </w:tcPr>
          <w:p>
            <w:r/>
            <w:r>
              <w:rPr>
                <w:rFonts w:ascii="Times New Roman" w:hAnsi="Times New Roman" w:cs="Times New Roman"/>
                <w:b/>
                <w:i w:val="0"/>
                <w:sz w:val="18"/>
                <w:u w:val="none"/>
              </w:rPr>
              <w:t>Position</w:t>
            </w:r>
          </w:p>
        </w:tc>
      </w:tr>
      <w:tr>
        <w:tc>
          <w:tcPr>
            <w:tcW w:type="dxa" w:w="2160"/>
          </w:tcPr>
          <w:p>
            <w:r/>
            <w:r>
              <w:rPr>
                <w:rFonts w:ascii="Times New Roman" w:hAnsi="Times New Roman" w:cs="Times New Roman"/>
                <w:b w:val="0"/>
                <w:i w:val="0"/>
                <w:sz w:val="18"/>
                <w:u w:val="none"/>
              </w:rPr>
              <w:t>Ref</w:t>
            </w:r>
          </w:p>
        </w:tc>
        <w:tc>
          <w:tcPr>
            <w:tcW w:type="dxa" w:w="8064"/>
          </w:tcPr>
          <w:p>
            <w:r/>
            <w:r>
              <w:rPr>
                <w:rFonts w:ascii="Times New Roman" w:hAnsi="Times New Roman" w:cs="Times New Roman"/>
                <w:b w:val="0"/>
                <w:i w:val="0"/>
                <w:sz w:val="18"/>
                <w:u w:val="none"/>
              </w:rPr>
              <w:t>P16</w:t>
            </w:r>
          </w:p>
        </w:tc>
      </w:tr>
      <w:tr>
        <w:tc>
          <w:tcPr>
            <w:tcW w:type="dxa" w:w="2160"/>
          </w:tcPr>
          <w:p>
            <w:r/>
            <w:r>
              <w:rPr>
                <w:rFonts w:ascii="Times New Roman" w:hAnsi="Times New Roman" w:cs="Times New Roman"/>
                <w:b w:val="0"/>
                <w:i w:val="0"/>
                <w:sz w:val="18"/>
                <w:u w:val="none"/>
              </w:rPr>
              <w:t>Applies to</w:t>
            </w:r>
          </w:p>
        </w:tc>
        <w:tc>
          <w:tcPr>
            <w:tcW w:type="dxa" w:w="8064"/>
          </w:tcPr>
          <w:p>
            <w:r/>
            <w:r>
              <w:rPr>
                <w:rFonts w:ascii="Times New Roman" w:hAnsi="Times New Roman" w:cs="Times New Roman"/>
                <w:b w:val="0"/>
                <w:i w:val="0"/>
                <w:sz w:val="18"/>
                <w:u w:val="none"/>
              </w:rPr>
              <w:t>MSA, order form</w:t>
            </w:r>
          </w:p>
        </w:tc>
      </w:tr>
      <w:tr>
        <w:tc>
          <w:tcPr>
            <w:tcW w:type="dxa" w:w="2160"/>
          </w:tcPr>
          <w:p>
            <w:r/>
            <w:r>
              <w:rPr>
                <w:rFonts w:ascii="Times New Roman" w:hAnsi="Times New Roman" w:cs="Times New Roman"/>
                <w:b w:val="0"/>
                <w:i w:val="0"/>
                <w:sz w:val="18"/>
                <w:u w:val="none"/>
              </w:rPr>
              <w:t>Standard position</w:t>
            </w:r>
          </w:p>
        </w:tc>
        <w:tc>
          <w:tcPr>
            <w:tcW w:type="dxa" w:w="8064"/>
          </w:tcPr>
          <w:p>
            <w:r/>
            <w:r>
              <w:rPr>
                <w:rFonts w:ascii="Times New Roman" w:hAnsi="Times New Roman" w:cs="Times New Roman"/>
                <w:b w:val="0"/>
                <w:i w:val="0"/>
                <w:sz w:val="18"/>
                <w:u w:val="none"/>
              </w:rPr>
              <w:t>Northwind grants Customer a non-exclusive, non-transferable, non-sublicensable licence to use the Services during the Subscription Term for its internal business purposes, limited to the number of Users in the Order Form. Customer may permit its Affiliates to use the Services on its behalf, and may permit its contractors to use the Services solely to provide services to Customer, in each case subject to the same restrictions and with Customer responsible for their compliance.</w:t>
            </w:r>
          </w:p>
        </w:tc>
      </w:tr>
      <w:tr>
        <w:tc>
          <w:tcPr>
            <w:tcW w:type="dxa" w:w="2160"/>
          </w:tcPr>
          <w:p>
            <w:r/>
            <w:r>
              <w:rPr>
                <w:rFonts w:ascii="Times New Roman" w:hAnsi="Times New Roman" w:cs="Times New Roman"/>
                <w:b w:val="0"/>
                <w:i w:val="0"/>
                <w:sz w:val="18"/>
                <w:u w:val="none"/>
              </w:rPr>
              <w:t>Fallback 1</w:t>
            </w:r>
          </w:p>
        </w:tc>
        <w:tc>
          <w:tcPr>
            <w:tcW w:type="dxa" w:w="8064"/>
          </w:tcPr>
          <w:p>
            <w:r/>
            <w:r>
              <w:rPr>
                <w:rFonts w:ascii="Times New Roman" w:hAnsi="Times New Roman" w:cs="Times New Roman"/>
                <w:b w:val="0"/>
                <w:i w:val="0"/>
                <w:sz w:val="18"/>
                <w:u w:val="none"/>
              </w:rPr>
              <w:t>Accept a right for Customer's contractors and implementation partners to use the Services as reasonably required for deployment, with Customer remaining responsible for their compliance with the Agreement.</w:t>
            </w:r>
          </w:p>
        </w:tc>
      </w:tr>
      <w:tr>
        <w:tc>
          <w:tcPr>
            <w:tcW w:type="dxa" w:w="2160"/>
          </w:tcPr>
          <w:p>
            <w:r/>
            <w:r>
              <w:rPr>
                <w:rFonts w:ascii="Times New Roman" w:hAnsi="Times New Roman" w:cs="Times New Roman"/>
                <w:b w:val="0"/>
                <w:i w:val="0"/>
                <w:sz w:val="18"/>
                <w:u w:val="none"/>
              </w:rPr>
              <w:t>Fallback 2</w:t>
            </w:r>
          </w:p>
        </w:tc>
        <w:tc>
          <w:tcPr>
            <w:tcW w:type="dxa" w:w="8064"/>
          </w:tcPr>
          <w:p>
            <w:r/>
            <w:r>
              <w:rPr>
                <w:rFonts w:ascii="Times New Roman" w:hAnsi="Times New Roman" w:cs="Times New Roman"/>
                <w:b w:val="0"/>
                <w:i w:val="0"/>
                <w:sz w:val="18"/>
                <w:u w:val="none"/>
              </w:rPr>
              <w:t>Accept an affiliate licence with a condition that the affiliate is bound by written obligations no less protective, and add a licence fee for affiliates above the User count in the Order Form.</w:t>
            </w:r>
          </w:p>
        </w:tc>
      </w:tr>
      <w:tr>
        <w:tc>
          <w:tcPr>
            <w:tcW w:type="dxa" w:w="2160"/>
          </w:tcPr>
          <w:p>
            <w:r/>
            <w:r>
              <w:rPr>
                <w:rFonts w:ascii="Times New Roman" w:hAnsi="Times New Roman" w:cs="Times New Roman"/>
                <w:b w:val="0"/>
                <w:i w:val="0"/>
                <w:sz w:val="18"/>
                <w:u w:val="none"/>
              </w:rPr>
              <w:t>Walk-away / red line</w:t>
            </w:r>
          </w:p>
        </w:tc>
        <w:tc>
          <w:tcPr>
            <w:tcW w:type="dxa" w:w="8064"/>
          </w:tcPr>
          <w:p>
            <w:r/>
            <w:r>
              <w:rPr>
                <w:rFonts w:ascii="Times New Roman" w:hAnsi="Times New Roman" w:cs="Times New Roman"/>
                <w:b w:val="0"/>
                <w:i w:val="0"/>
                <w:sz w:val="18"/>
                <w:u w:val="none"/>
              </w:rPr>
              <w:t>A perpetual, irrevocable, worldwide, royalty-free licence. Also any right for Customer to reverse engineer, benchmark for publication, or use the Services to build a competing product.</w:t>
            </w:r>
          </w:p>
        </w:tc>
      </w:tr>
      <w:tr>
        <w:tc>
          <w:tcPr>
            <w:tcW w:type="dxa" w:w="2160"/>
          </w:tcPr>
          <w:p>
            <w:r/>
            <w:r>
              <w:rPr>
                <w:rFonts w:ascii="Times New Roman" w:hAnsi="Times New Roman" w:cs="Times New Roman"/>
                <w:b w:val="0"/>
                <w:i w:val="0"/>
                <w:sz w:val="18"/>
                <w:u w:val="none"/>
              </w:rPr>
              <w:t>Drafting note</w:t>
            </w:r>
          </w:p>
        </w:tc>
        <w:tc>
          <w:tcPr>
            <w:tcW w:type="dxa" w:w="8064"/>
          </w:tcPr>
          <w:p>
            <w:r/>
            <w:r>
              <w:rPr>
                <w:rFonts w:ascii="Times New Roman" w:hAnsi="Times New Roman" w:cs="Times New Roman"/>
                <w:b w:val="0"/>
                <w:i w:val="0"/>
                <w:sz w:val="18"/>
                <w:u w:val="none"/>
              </w:rPr>
              <w:t>A licence that survives 'for the term of the Agreement' is fine. A licence 'irrevocable and perpetual' is not, because it survives an unpaid termination. Check the adjective, not the verb.</w:t>
            </w:r>
          </w:p>
        </w:tc>
      </w:tr>
      <w:tr>
        <w:tc>
          <w:tcPr>
            <w:tcW w:type="dxa" w:w="2160"/>
          </w:tcPr>
          <w:p>
            <w:r/>
            <w:r>
              <w:rPr>
                <w:rFonts w:ascii="Times New Roman" w:hAnsi="Times New Roman" w:cs="Times New Roman"/>
                <w:b w:val="0"/>
                <w:i w:val="0"/>
                <w:sz w:val="18"/>
                <w:u w:val="none"/>
              </w:rPr>
              <w:t>Sample wording</w:t>
            </w:r>
          </w:p>
        </w:tc>
        <w:tc>
          <w:tcPr>
            <w:tcW w:type="dxa" w:w="8064"/>
          </w:tcPr>
          <w:p>
            <w:r/>
            <w:r>
              <w:rPr>
                <w:rFonts w:ascii="Times New Roman" w:hAnsi="Times New Roman" w:cs="Times New Roman"/>
                <w:b w:val="0"/>
                <w:i w:val="0"/>
                <w:sz w:val="18"/>
                <w:u w:val="none"/>
              </w:rPr>
              <w:t>Subject to Customer's payment of Charges and its compliance with this Agreement, Northwind grants Customer a non-exclusive, non-transferable, non-sublicensable licence to access and use the Services during the Subscription Term for Customer's internal business purposes, limited to the number of Users stated in the Order Form. Customer may permit its Affiliates and its service providers and contractors to access and use the Services on its behalf to the extent required for Customer's use of the Services, provided that they are bound by written obligations no less protective than those in this Agreement and that Customer remains liable for their acts and omissions.</w:t>
            </w:r>
          </w:p>
        </w:tc>
      </w:tr>
    </w:tbl>
    <w:p>
      <w:pPr/>
    </w:p>
    <w:p>
      <w:pPr>
        <w:spacing w:before="120" w:after="60" w:line="276" w:lineRule="auto"/>
      </w:pPr>
      <w:r>
        <w:rPr>
          <w:rFonts w:ascii="Times New Roman" w:hAnsi="Times New Roman" w:cs="Times New Roman"/>
          <w:b/>
          <w:i w:val="0"/>
          <w:sz w:val="21"/>
          <w:u w:val="none"/>
        </w:rPr>
        <w:t>P17. Data export and exit assistance</w:t>
      </w:r>
    </w:p>
    <w:tbl>
      <w:tblPr>
        <w:tblStyle w:val="TableGrid"/>
        <w:tblW w:type="auto" w:w="0"/>
        <w:tblLook w:firstColumn="1" w:firstRow="1" w:lastColumn="0" w:lastRow="0" w:noHBand="0" w:noVBand="1" w:val="04A0"/>
      </w:tblPr>
      <w:tblGrid>
        <w:gridCol w:w="4680"/>
        <w:gridCol w:w="4680"/>
      </w:tblGrid>
      <w:tr>
        <w:tc>
          <w:tcPr>
            <w:tcW w:type="dxa" w:w="2160"/>
          </w:tcPr>
          <w:p>
            <w:r/>
            <w:r>
              <w:rPr>
                <w:rFonts w:ascii="Times New Roman" w:hAnsi="Times New Roman" w:cs="Times New Roman"/>
                <w:b/>
                <w:i w:val="0"/>
                <w:sz w:val="18"/>
                <w:u w:val="none"/>
              </w:rPr>
              <w:t>Field</w:t>
            </w:r>
          </w:p>
        </w:tc>
        <w:tc>
          <w:tcPr>
            <w:tcW w:type="dxa" w:w="8064"/>
          </w:tcPr>
          <w:p>
            <w:r/>
            <w:r>
              <w:rPr>
                <w:rFonts w:ascii="Times New Roman" w:hAnsi="Times New Roman" w:cs="Times New Roman"/>
                <w:b/>
                <w:i w:val="0"/>
                <w:sz w:val="18"/>
                <w:u w:val="none"/>
              </w:rPr>
              <w:t>Position</w:t>
            </w:r>
          </w:p>
        </w:tc>
      </w:tr>
      <w:tr>
        <w:tc>
          <w:tcPr>
            <w:tcW w:type="dxa" w:w="2160"/>
          </w:tcPr>
          <w:p>
            <w:r/>
            <w:r>
              <w:rPr>
                <w:rFonts w:ascii="Times New Roman" w:hAnsi="Times New Roman" w:cs="Times New Roman"/>
                <w:b w:val="0"/>
                <w:i w:val="0"/>
                <w:sz w:val="18"/>
                <w:u w:val="none"/>
              </w:rPr>
              <w:t>Ref</w:t>
            </w:r>
          </w:p>
        </w:tc>
        <w:tc>
          <w:tcPr>
            <w:tcW w:type="dxa" w:w="8064"/>
          </w:tcPr>
          <w:p>
            <w:r/>
            <w:r>
              <w:rPr>
                <w:rFonts w:ascii="Times New Roman" w:hAnsi="Times New Roman" w:cs="Times New Roman"/>
                <w:b w:val="0"/>
                <w:i w:val="0"/>
                <w:sz w:val="18"/>
                <w:u w:val="none"/>
              </w:rPr>
              <w:t>P17</w:t>
            </w:r>
          </w:p>
        </w:tc>
      </w:tr>
      <w:tr>
        <w:tc>
          <w:tcPr>
            <w:tcW w:type="dxa" w:w="2160"/>
          </w:tcPr>
          <w:p>
            <w:r/>
            <w:r>
              <w:rPr>
                <w:rFonts w:ascii="Times New Roman" w:hAnsi="Times New Roman" w:cs="Times New Roman"/>
                <w:b w:val="0"/>
                <w:i w:val="0"/>
                <w:sz w:val="18"/>
                <w:u w:val="none"/>
              </w:rPr>
              <w:t>Applies to</w:t>
            </w:r>
          </w:p>
        </w:tc>
        <w:tc>
          <w:tcPr>
            <w:tcW w:type="dxa" w:w="8064"/>
          </w:tcPr>
          <w:p>
            <w:r/>
            <w:r>
              <w:rPr>
                <w:rFonts w:ascii="Times New Roman" w:hAnsi="Times New Roman" w:cs="Times New Roman"/>
                <w:b w:val="0"/>
                <w:i w:val="0"/>
                <w:sz w:val="18"/>
                <w:u w:val="none"/>
              </w:rPr>
              <w:t>MSA, order form</w:t>
            </w:r>
          </w:p>
        </w:tc>
      </w:tr>
      <w:tr>
        <w:tc>
          <w:tcPr>
            <w:tcW w:type="dxa" w:w="2160"/>
          </w:tcPr>
          <w:p>
            <w:r/>
            <w:r>
              <w:rPr>
                <w:rFonts w:ascii="Times New Roman" w:hAnsi="Times New Roman" w:cs="Times New Roman"/>
                <w:b w:val="0"/>
                <w:i w:val="0"/>
                <w:sz w:val="18"/>
                <w:u w:val="none"/>
              </w:rPr>
              <w:t>Standard position</w:t>
            </w:r>
          </w:p>
        </w:tc>
        <w:tc>
          <w:tcPr>
            <w:tcW w:type="dxa" w:w="8064"/>
          </w:tcPr>
          <w:p>
            <w:r/>
            <w:r>
              <w:rPr>
                <w:rFonts w:ascii="Times New Roman" w:hAnsi="Times New Roman" w:cs="Times New Roman"/>
                <w:b w:val="0"/>
                <w:i w:val="0"/>
                <w:sz w:val="18"/>
                <w:u w:val="none"/>
              </w:rPr>
              <w:t>During the Subscription Term and for 90 days after it ends, Customer may export Customer Data in a structured, commonly used, machine-readable format using the standard export tools. Northwind provides no charge export assistance for the first 30 days after termination and charges at then-current professional services rates after that. On termination, Northwind deletes Customer Data from active systems within 90 days and from backups within 180 days, with a written confirmation on request.</w:t>
            </w:r>
          </w:p>
        </w:tc>
      </w:tr>
      <w:tr>
        <w:tc>
          <w:tcPr>
            <w:tcW w:type="dxa" w:w="2160"/>
          </w:tcPr>
          <w:p>
            <w:r/>
            <w:r>
              <w:rPr>
                <w:rFonts w:ascii="Times New Roman" w:hAnsi="Times New Roman" w:cs="Times New Roman"/>
                <w:b w:val="0"/>
                <w:i w:val="0"/>
                <w:sz w:val="18"/>
                <w:u w:val="none"/>
              </w:rPr>
              <w:t>Fallback 1</w:t>
            </w:r>
          </w:p>
        </w:tc>
        <w:tc>
          <w:tcPr>
            <w:tcW w:type="dxa" w:w="8064"/>
          </w:tcPr>
          <w:p>
            <w:r/>
            <w:r>
              <w:rPr>
                <w:rFonts w:ascii="Times New Roman" w:hAnsi="Times New Roman" w:cs="Times New Roman"/>
                <w:b w:val="0"/>
                <w:i w:val="0"/>
                <w:sz w:val="18"/>
                <w:u w:val="none"/>
              </w:rPr>
              <w:t>Accept 180 days of free export assistance post-termination, keeping the deletion timetable.</w:t>
            </w:r>
          </w:p>
        </w:tc>
      </w:tr>
      <w:tr>
        <w:tc>
          <w:tcPr>
            <w:tcW w:type="dxa" w:w="2160"/>
          </w:tcPr>
          <w:p>
            <w:r/>
            <w:r>
              <w:rPr>
                <w:rFonts w:ascii="Times New Roman" w:hAnsi="Times New Roman" w:cs="Times New Roman"/>
                <w:b w:val="0"/>
                <w:i w:val="0"/>
                <w:sz w:val="18"/>
                <w:u w:val="none"/>
              </w:rPr>
              <w:t>Fallback 2</w:t>
            </w:r>
          </w:p>
        </w:tc>
        <w:tc>
          <w:tcPr>
            <w:tcW w:type="dxa" w:w="8064"/>
          </w:tcPr>
          <w:p>
            <w:r/>
            <w:r>
              <w:rPr>
                <w:rFonts w:ascii="Times New Roman" w:hAnsi="Times New Roman" w:cs="Times New Roman"/>
                <w:b w:val="0"/>
                <w:i w:val="0"/>
                <w:sz w:val="18"/>
                <w:u w:val="none"/>
              </w:rPr>
              <w:t>Accept the deletion timetable but keep paid export assistance from day one, at a fixed hourly rate stated in the Order Form rather than a list rate.</w:t>
            </w:r>
          </w:p>
        </w:tc>
      </w:tr>
      <w:tr>
        <w:tc>
          <w:tcPr>
            <w:tcW w:type="dxa" w:w="2160"/>
          </w:tcPr>
          <w:p>
            <w:r/>
            <w:r>
              <w:rPr>
                <w:rFonts w:ascii="Times New Roman" w:hAnsi="Times New Roman" w:cs="Times New Roman"/>
                <w:b w:val="0"/>
                <w:i w:val="0"/>
                <w:sz w:val="18"/>
                <w:u w:val="none"/>
              </w:rPr>
              <w:t>Walk-away / red line</w:t>
            </w:r>
          </w:p>
        </w:tc>
        <w:tc>
          <w:tcPr>
            <w:tcW w:type="dxa" w:w="8064"/>
          </w:tcPr>
          <w:p>
            <w:r/>
            <w:r>
              <w:rPr>
                <w:rFonts w:ascii="Times New Roman" w:hAnsi="Times New Roman" w:cs="Times New Roman"/>
                <w:b w:val="0"/>
                <w:i w:val="0"/>
                <w:sz w:val="18"/>
                <w:u w:val="none"/>
              </w:rPr>
              <w:t>An open-ended, free-of-charge exit assistance obligation for any customer of any size. Also an obligation to keep Customer Data indefinitely 'for regulatory record keeping' with no defined retention limit.</w:t>
            </w:r>
          </w:p>
        </w:tc>
      </w:tr>
      <w:tr>
        <w:tc>
          <w:tcPr>
            <w:tcW w:type="dxa" w:w="2160"/>
          </w:tcPr>
          <w:p>
            <w:r/>
            <w:r>
              <w:rPr>
                <w:rFonts w:ascii="Times New Roman" w:hAnsi="Times New Roman" w:cs="Times New Roman"/>
                <w:b w:val="0"/>
                <w:i w:val="0"/>
                <w:sz w:val="18"/>
                <w:u w:val="none"/>
              </w:rPr>
              <w:t>Escalation</w:t>
            </w:r>
          </w:p>
        </w:tc>
        <w:tc>
          <w:tcPr>
            <w:tcW w:type="dxa" w:w="8064"/>
          </w:tcPr>
          <w:p>
            <w:r/>
            <w:r>
              <w:rPr>
                <w:rFonts w:ascii="Times New Roman" w:hAnsi="Times New Roman" w:cs="Times New Roman"/>
                <w:b w:val="0"/>
                <w:i w:val="0"/>
                <w:sz w:val="18"/>
                <w:u w:val="none"/>
              </w:rPr>
              <w:t>Deal Desk for the fixed-rate variant.</w:t>
            </w:r>
          </w:p>
        </w:tc>
      </w:tr>
      <w:tr>
        <w:tc>
          <w:tcPr>
            <w:tcW w:type="dxa" w:w="2160"/>
          </w:tcPr>
          <w:p>
            <w:r/>
            <w:r>
              <w:rPr>
                <w:rFonts w:ascii="Times New Roman" w:hAnsi="Times New Roman" w:cs="Times New Roman"/>
                <w:b w:val="0"/>
                <w:i w:val="0"/>
                <w:sz w:val="18"/>
                <w:u w:val="none"/>
              </w:rPr>
              <w:t>Drafting note</w:t>
            </w:r>
          </w:p>
        </w:tc>
        <w:tc>
          <w:tcPr>
            <w:tcW w:type="dxa" w:w="8064"/>
          </w:tcPr>
          <w:p>
            <w:r/>
            <w:r>
              <w:rPr>
                <w:rFonts w:ascii="Times New Roman" w:hAnsi="Times New Roman" w:cs="Times New Roman"/>
                <w:b w:val="0"/>
                <w:i w:val="0"/>
                <w:sz w:val="18"/>
                <w:u w:val="none"/>
              </w:rPr>
              <w:t>The DPA deletion clause and this clause must say the same thing. If the DPA says 'delete or return on termination' and the MSA says 'retain for seven years to support product analytics', the customer will take the longer period and we will have to honour it because the longer obligation is the one we gave.</w:t>
            </w:r>
          </w:p>
        </w:tc>
      </w:tr>
      <w:tr>
        <w:tc>
          <w:tcPr>
            <w:tcW w:type="dxa" w:w="2160"/>
          </w:tcPr>
          <w:p>
            <w:r/>
            <w:r>
              <w:rPr>
                <w:rFonts w:ascii="Times New Roman" w:hAnsi="Times New Roman" w:cs="Times New Roman"/>
                <w:b w:val="0"/>
                <w:i w:val="0"/>
                <w:sz w:val="18"/>
                <w:u w:val="none"/>
              </w:rPr>
              <w:t>Sample wording</w:t>
            </w:r>
          </w:p>
        </w:tc>
        <w:tc>
          <w:tcPr>
            <w:tcW w:type="dxa" w:w="8064"/>
          </w:tcPr>
          <w:p>
            <w:r/>
            <w:r>
              <w:rPr>
                <w:rFonts w:ascii="Times New Roman" w:hAnsi="Times New Roman" w:cs="Times New Roman"/>
                <w:b w:val="0"/>
                <w:i w:val="0"/>
                <w:sz w:val="18"/>
                <w:u w:val="none"/>
              </w:rPr>
              <w:t>During the Subscription Term and for ninety (90) days after its end, Customer may export Customer Data in a structured, commonly used and machine-readable format using the standard export functionality of the Services. Northwind shall delete Customer Data from active systems within ninety (90) days after the end of the Subscription Term and from backups within one hundred and eighty (180) days after that. Northwind shall provide up to forty (40) hours of transition assistance at no charge within the first thirty (30) days after the end of the Subscription Term. Exit assistance beyond that shall be provided at Northwind's then-current professional services rates.</w:t>
            </w:r>
          </w:p>
        </w:tc>
      </w:tr>
    </w:tbl>
    <w:p>
      <w:pPr/>
    </w:p>
    <w:p>
      <w:pPr>
        <w:spacing w:before="120" w:after="60" w:line="276" w:lineRule="auto"/>
      </w:pPr>
      <w:r>
        <w:rPr>
          <w:rFonts w:ascii="Times New Roman" w:hAnsi="Times New Roman" w:cs="Times New Roman"/>
          <w:b/>
          <w:i w:val="0"/>
          <w:sz w:val="21"/>
          <w:u w:val="none"/>
        </w:rPr>
        <w:t>P18. Change control, order forms and fees</w:t>
      </w:r>
    </w:p>
    <w:tbl>
      <w:tblPr>
        <w:tblStyle w:val="TableGrid"/>
        <w:tblW w:type="auto" w:w="0"/>
        <w:tblLook w:firstColumn="1" w:firstRow="1" w:lastColumn="0" w:lastRow="0" w:noHBand="0" w:noVBand="1" w:val="04A0"/>
      </w:tblPr>
      <w:tblGrid>
        <w:gridCol w:w="4680"/>
        <w:gridCol w:w="4680"/>
      </w:tblGrid>
      <w:tr>
        <w:tc>
          <w:tcPr>
            <w:tcW w:type="dxa" w:w="2160"/>
          </w:tcPr>
          <w:p>
            <w:r/>
            <w:r>
              <w:rPr>
                <w:rFonts w:ascii="Times New Roman" w:hAnsi="Times New Roman" w:cs="Times New Roman"/>
                <w:b/>
                <w:i w:val="0"/>
                <w:sz w:val="18"/>
                <w:u w:val="none"/>
              </w:rPr>
              <w:t>Field</w:t>
            </w:r>
          </w:p>
        </w:tc>
        <w:tc>
          <w:tcPr>
            <w:tcW w:type="dxa" w:w="8064"/>
          </w:tcPr>
          <w:p>
            <w:r/>
            <w:r>
              <w:rPr>
                <w:rFonts w:ascii="Times New Roman" w:hAnsi="Times New Roman" w:cs="Times New Roman"/>
                <w:b/>
                <w:i w:val="0"/>
                <w:sz w:val="18"/>
                <w:u w:val="none"/>
              </w:rPr>
              <w:t>Position</w:t>
            </w:r>
          </w:p>
        </w:tc>
      </w:tr>
      <w:tr>
        <w:tc>
          <w:tcPr>
            <w:tcW w:type="dxa" w:w="2160"/>
          </w:tcPr>
          <w:p>
            <w:r/>
            <w:r>
              <w:rPr>
                <w:rFonts w:ascii="Times New Roman" w:hAnsi="Times New Roman" w:cs="Times New Roman"/>
                <w:b w:val="0"/>
                <w:i w:val="0"/>
                <w:sz w:val="18"/>
                <w:u w:val="none"/>
              </w:rPr>
              <w:t>Ref</w:t>
            </w:r>
          </w:p>
        </w:tc>
        <w:tc>
          <w:tcPr>
            <w:tcW w:type="dxa" w:w="8064"/>
          </w:tcPr>
          <w:p>
            <w:r/>
            <w:r>
              <w:rPr>
                <w:rFonts w:ascii="Times New Roman" w:hAnsi="Times New Roman" w:cs="Times New Roman"/>
                <w:b w:val="0"/>
                <w:i w:val="0"/>
                <w:sz w:val="18"/>
                <w:u w:val="none"/>
              </w:rPr>
              <w:t>P18</w:t>
            </w:r>
          </w:p>
        </w:tc>
      </w:tr>
      <w:tr>
        <w:tc>
          <w:tcPr>
            <w:tcW w:type="dxa" w:w="2160"/>
          </w:tcPr>
          <w:p>
            <w:r/>
            <w:r>
              <w:rPr>
                <w:rFonts w:ascii="Times New Roman" w:hAnsi="Times New Roman" w:cs="Times New Roman"/>
                <w:b w:val="0"/>
                <w:i w:val="0"/>
                <w:sz w:val="18"/>
                <w:u w:val="none"/>
              </w:rPr>
              <w:t>Applies to</w:t>
            </w:r>
          </w:p>
        </w:tc>
        <w:tc>
          <w:tcPr>
            <w:tcW w:type="dxa" w:w="8064"/>
          </w:tcPr>
          <w:p>
            <w:r/>
            <w:r>
              <w:rPr>
                <w:rFonts w:ascii="Times New Roman" w:hAnsi="Times New Roman" w:cs="Times New Roman"/>
                <w:b w:val="0"/>
                <w:i w:val="0"/>
                <w:sz w:val="18"/>
                <w:u w:val="none"/>
              </w:rPr>
              <w:t>MSA, order form, SOW</w:t>
            </w:r>
          </w:p>
        </w:tc>
      </w:tr>
      <w:tr>
        <w:tc>
          <w:tcPr>
            <w:tcW w:type="dxa" w:w="2160"/>
          </w:tcPr>
          <w:p>
            <w:r/>
            <w:r>
              <w:rPr>
                <w:rFonts w:ascii="Times New Roman" w:hAnsi="Times New Roman" w:cs="Times New Roman"/>
                <w:b w:val="0"/>
                <w:i w:val="0"/>
                <w:sz w:val="18"/>
                <w:u w:val="none"/>
              </w:rPr>
              <w:t>Standard position</w:t>
            </w:r>
          </w:p>
        </w:tc>
        <w:tc>
          <w:tcPr>
            <w:tcW w:type="dxa" w:w="8064"/>
          </w:tcPr>
          <w:p>
            <w:r/>
            <w:r>
              <w:rPr>
                <w:rFonts w:ascii="Times New Roman" w:hAnsi="Times New Roman" w:cs="Times New Roman"/>
                <w:b w:val="0"/>
                <w:i w:val="0"/>
                <w:sz w:val="18"/>
                <w:u w:val="none"/>
              </w:rPr>
              <w:t>This MSA sets out the terms. Commercial terms (fees, term, Users, milestones, acceptance criteria) are in Order Forms and Statements of Work, each signed by both parties and governed by the MSA. Where an Order Form conflicts with the MSA on liability, confidentiality, data protection or IP, the MSA prevails. We will not accept a change to fees, scope or term that is not in a signed Order Form.</w:t>
            </w:r>
          </w:p>
        </w:tc>
      </w:tr>
      <w:tr>
        <w:tc>
          <w:tcPr>
            <w:tcW w:type="dxa" w:w="2160"/>
          </w:tcPr>
          <w:p>
            <w:r/>
            <w:r>
              <w:rPr>
                <w:rFonts w:ascii="Times New Roman" w:hAnsi="Times New Roman" w:cs="Times New Roman"/>
                <w:b w:val="0"/>
                <w:i w:val="0"/>
                <w:sz w:val="18"/>
                <w:u w:val="none"/>
              </w:rPr>
              <w:t>Fallback 1</w:t>
            </w:r>
          </w:p>
        </w:tc>
        <w:tc>
          <w:tcPr>
            <w:tcW w:type="dxa" w:w="8064"/>
          </w:tcPr>
          <w:p>
            <w:r/>
            <w:r>
              <w:rPr>
                <w:rFonts w:ascii="Times New Roman" w:hAnsi="Times New Roman" w:cs="Times New Roman"/>
                <w:b w:val="0"/>
                <w:i w:val="0"/>
                <w:sz w:val="18"/>
                <w:u w:val="none"/>
              </w:rPr>
              <w:t>Accept a single schedule containing both commercial terms and any agreed departures from the MSA, with the MSA still prevailing on liability, confidentiality, data protection and IP.</w:t>
            </w:r>
          </w:p>
        </w:tc>
      </w:tr>
      <w:tr>
        <w:tc>
          <w:tcPr>
            <w:tcW w:type="dxa" w:w="2160"/>
          </w:tcPr>
          <w:p>
            <w:r/>
            <w:r>
              <w:rPr>
                <w:rFonts w:ascii="Times New Roman" w:hAnsi="Times New Roman" w:cs="Times New Roman"/>
                <w:b w:val="0"/>
                <w:i w:val="0"/>
                <w:sz w:val="18"/>
                <w:u w:val="none"/>
              </w:rPr>
              <w:t>Fallback 2</w:t>
            </w:r>
          </w:p>
        </w:tc>
        <w:tc>
          <w:tcPr>
            <w:tcW w:type="dxa" w:w="8064"/>
          </w:tcPr>
          <w:p>
            <w:r/>
            <w:r>
              <w:rPr>
                <w:rFonts w:ascii="Times New Roman" w:hAnsi="Times New Roman" w:cs="Times New Roman"/>
                <w:b w:val="0"/>
                <w:i w:val="0"/>
                <w:sz w:val="18"/>
                <w:u w:val="none"/>
              </w:rPr>
              <w:t>Accept email signature of Order Forms where value is below Tier 1, on the basis that an emailed countersignature of a PDF is a valid Order Form.</w:t>
            </w:r>
          </w:p>
        </w:tc>
      </w:tr>
      <w:tr>
        <w:tc>
          <w:tcPr>
            <w:tcW w:type="dxa" w:w="2160"/>
          </w:tcPr>
          <w:p>
            <w:r/>
            <w:r>
              <w:rPr>
                <w:rFonts w:ascii="Times New Roman" w:hAnsi="Times New Roman" w:cs="Times New Roman"/>
                <w:b w:val="0"/>
                <w:i w:val="0"/>
                <w:sz w:val="18"/>
                <w:u w:val="none"/>
              </w:rPr>
              <w:t>Walk-away / red line</w:t>
            </w:r>
          </w:p>
        </w:tc>
        <w:tc>
          <w:tcPr>
            <w:tcW w:type="dxa" w:w="8064"/>
          </w:tcPr>
          <w:p>
            <w:r/>
            <w:r>
              <w:rPr>
                <w:rFonts w:ascii="Times New Roman" w:hAnsi="Times New Roman" w:cs="Times New Roman"/>
                <w:b w:val="0"/>
                <w:i w:val="0"/>
                <w:sz w:val="18"/>
                <w:u w:val="none"/>
              </w:rPr>
              <w:t>Any arrangement where a signed SOW overrides the MSA's liability, indemnity or data protection terms. Also a Customer right to vary scope or price on 30 days' notice without an agreed Order Form.</w:t>
            </w:r>
          </w:p>
        </w:tc>
      </w:tr>
      <w:tr>
        <w:tc>
          <w:tcPr>
            <w:tcW w:type="dxa" w:w="2160"/>
          </w:tcPr>
          <w:p>
            <w:r/>
            <w:r>
              <w:rPr>
                <w:rFonts w:ascii="Times New Roman" w:hAnsi="Times New Roman" w:cs="Times New Roman"/>
                <w:b w:val="0"/>
                <w:i w:val="0"/>
                <w:sz w:val="18"/>
                <w:u w:val="none"/>
              </w:rPr>
              <w:t>Drafting note</w:t>
            </w:r>
          </w:p>
        </w:tc>
        <w:tc>
          <w:tcPr>
            <w:tcW w:type="dxa" w:w="8064"/>
          </w:tcPr>
          <w:p>
            <w:r/>
            <w:r>
              <w:rPr>
                <w:rFonts w:ascii="Times New Roman" w:hAnsi="Times New Roman" w:cs="Times New Roman"/>
                <w:b w:val="0"/>
                <w:i w:val="0"/>
                <w:sz w:val="18"/>
                <w:u w:val="none"/>
              </w:rPr>
              <w:t>The precedence clause is the cheapest protection in the whole agreement. Every time we let a project-specific term override the MSA on a liability point, that exception propagates to the next deal with the same customer.</w:t>
            </w:r>
          </w:p>
        </w:tc>
      </w:tr>
      <w:tr>
        <w:tc>
          <w:tcPr>
            <w:tcW w:type="dxa" w:w="2160"/>
          </w:tcPr>
          <w:p>
            <w:r/>
            <w:r>
              <w:rPr>
                <w:rFonts w:ascii="Times New Roman" w:hAnsi="Times New Roman" w:cs="Times New Roman"/>
                <w:b w:val="0"/>
                <w:i w:val="0"/>
                <w:sz w:val="18"/>
                <w:u w:val="none"/>
              </w:rPr>
              <w:t>Sample wording</w:t>
            </w:r>
          </w:p>
        </w:tc>
        <w:tc>
          <w:tcPr>
            <w:tcW w:type="dxa" w:w="8064"/>
          </w:tcPr>
          <w:p>
            <w:r/>
            <w:r>
              <w:rPr>
                <w:rFonts w:ascii="Times New Roman" w:hAnsi="Times New Roman" w:cs="Times New Roman"/>
                <w:b w:val="0"/>
                <w:i w:val="0"/>
                <w:sz w:val="18"/>
                <w:u w:val="none"/>
              </w:rPr>
              <w:t>Commercial terms, including fees, subscription term, number of Users, milestones and acceptance criteria, are set out in each Order Form and Statement of Work signed by the parties. Where an Order Form or Statement of Work conflicts with this Agreement in relation to liability, indemnification, confidentiality, data protection or intellectual property, this Agreement prevails.</w:t>
            </w:r>
          </w:p>
        </w:tc>
      </w:tr>
    </w:tbl>
    <w:p>
      <w:pPr/>
    </w:p>
    <w:p>
      <w:pPr>
        <w:spacing w:before="120" w:after="60" w:line="276" w:lineRule="auto"/>
      </w:pPr>
      <w:r>
        <w:rPr>
          <w:rFonts w:ascii="Times New Roman" w:hAnsi="Times New Roman" w:cs="Times New Roman"/>
          <w:b/>
          <w:i w:val="0"/>
          <w:sz w:val="21"/>
          <w:u w:val="none"/>
        </w:rPr>
        <w:t>P19. Assignment and change of control</w:t>
      </w:r>
    </w:p>
    <w:tbl>
      <w:tblPr>
        <w:tblStyle w:val="TableGrid"/>
        <w:tblW w:type="auto" w:w="0"/>
        <w:tblLook w:firstColumn="1" w:firstRow="1" w:lastColumn="0" w:lastRow="0" w:noHBand="0" w:noVBand="1" w:val="04A0"/>
      </w:tblPr>
      <w:tblGrid>
        <w:gridCol w:w="4680"/>
        <w:gridCol w:w="4680"/>
      </w:tblGrid>
      <w:tr>
        <w:tc>
          <w:tcPr>
            <w:tcW w:type="dxa" w:w="2160"/>
          </w:tcPr>
          <w:p>
            <w:r/>
            <w:r>
              <w:rPr>
                <w:rFonts w:ascii="Times New Roman" w:hAnsi="Times New Roman" w:cs="Times New Roman"/>
                <w:b/>
                <w:i w:val="0"/>
                <w:sz w:val="18"/>
                <w:u w:val="none"/>
              </w:rPr>
              <w:t>Field</w:t>
            </w:r>
          </w:p>
        </w:tc>
        <w:tc>
          <w:tcPr>
            <w:tcW w:type="dxa" w:w="8064"/>
          </w:tcPr>
          <w:p>
            <w:r/>
            <w:r>
              <w:rPr>
                <w:rFonts w:ascii="Times New Roman" w:hAnsi="Times New Roman" w:cs="Times New Roman"/>
                <w:b/>
                <w:i w:val="0"/>
                <w:sz w:val="18"/>
                <w:u w:val="none"/>
              </w:rPr>
              <w:t>Position</w:t>
            </w:r>
          </w:p>
        </w:tc>
      </w:tr>
      <w:tr>
        <w:tc>
          <w:tcPr>
            <w:tcW w:type="dxa" w:w="2160"/>
          </w:tcPr>
          <w:p>
            <w:r/>
            <w:r>
              <w:rPr>
                <w:rFonts w:ascii="Times New Roman" w:hAnsi="Times New Roman" w:cs="Times New Roman"/>
                <w:b w:val="0"/>
                <w:i w:val="0"/>
                <w:sz w:val="18"/>
                <w:u w:val="none"/>
              </w:rPr>
              <w:t>Ref</w:t>
            </w:r>
          </w:p>
        </w:tc>
        <w:tc>
          <w:tcPr>
            <w:tcW w:type="dxa" w:w="8064"/>
          </w:tcPr>
          <w:p>
            <w:r/>
            <w:r>
              <w:rPr>
                <w:rFonts w:ascii="Times New Roman" w:hAnsi="Times New Roman" w:cs="Times New Roman"/>
                <w:b w:val="0"/>
                <w:i w:val="0"/>
                <w:sz w:val="18"/>
                <w:u w:val="none"/>
              </w:rPr>
              <w:t>P19</w:t>
            </w:r>
          </w:p>
        </w:tc>
      </w:tr>
      <w:tr>
        <w:tc>
          <w:tcPr>
            <w:tcW w:type="dxa" w:w="2160"/>
          </w:tcPr>
          <w:p>
            <w:r/>
            <w:r>
              <w:rPr>
                <w:rFonts w:ascii="Times New Roman" w:hAnsi="Times New Roman" w:cs="Times New Roman"/>
                <w:b w:val="0"/>
                <w:i w:val="0"/>
                <w:sz w:val="18"/>
                <w:u w:val="none"/>
              </w:rPr>
              <w:t>Applies to</w:t>
            </w:r>
          </w:p>
        </w:tc>
        <w:tc>
          <w:tcPr>
            <w:tcW w:type="dxa" w:w="8064"/>
          </w:tcPr>
          <w:p>
            <w:r/>
            <w:r>
              <w:rPr>
                <w:rFonts w:ascii="Times New Roman" w:hAnsi="Times New Roman" w:cs="Times New Roman"/>
                <w:b w:val="0"/>
                <w:i w:val="0"/>
                <w:sz w:val="18"/>
                <w:u w:val="none"/>
              </w:rPr>
              <w:t>MSA</w:t>
            </w:r>
          </w:p>
        </w:tc>
      </w:tr>
      <w:tr>
        <w:tc>
          <w:tcPr>
            <w:tcW w:type="dxa" w:w="2160"/>
          </w:tcPr>
          <w:p>
            <w:r/>
            <w:r>
              <w:rPr>
                <w:rFonts w:ascii="Times New Roman" w:hAnsi="Times New Roman" w:cs="Times New Roman"/>
                <w:b w:val="0"/>
                <w:i w:val="0"/>
                <w:sz w:val="18"/>
                <w:u w:val="none"/>
              </w:rPr>
              <w:t>Standard position</w:t>
            </w:r>
          </w:p>
        </w:tc>
        <w:tc>
          <w:tcPr>
            <w:tcW w:type="dxa" w:w="8064"/>
          </w:tcPr>
          <w:p>
            <w:r/>
            <w:r>
              <w:rPr>
                <w:rFonts w:ascii="Times New Roman" w:hAnsi="Times New Roman" w:cs="Times New Roman"/>
                <w:b w:val="0"/>
                <w:i w:val="0"/>
                <w:sz w:val="18"/>
                <w:u w:val="none"/>
              </w:rPr>
              <w:t>Neither party may assign the Agreement without the other's consent, not to be unreasonably withheld, except to a successor in a merger or sale of substantially all assets, or to an Affiliate on 30 days' notice. Consent is not required where the assignee has materially more financial resources or a stronger security posture. Northwind may terminate if Customer assigns to a competitor of Northwind or if Customer changes control to a person Northwind reasonably believes is a competitor.</w:t>
            </w:r>
          </w:p>
        </w:tc>
      </w:tr>
      <w:tr>
        <w:tc>
          <w:tcPr>
            <w:tcW w:type="dxa" w:w="2160"/>
          </w:tcPr>
          <w:p>
            <w:r/>
            <w:r>
              <w:rPr>
                <w:rFonts w:ascii="Times New Roman" w:hAnsi="Times New Roman" w:cs="Times New Roman"/>
                <w:b w:val="0"/>
                <w:i w:val="0"/>
                <w:sz w:val="18"/>
                <w:u w:val="none"/>
              </w:rPr>
              <w:t>Fallback 1</w:t>
            </w:r>
          </w:p>
        </w:tc>
        <w:tc>
          <w:tcPr>
            <w:tcW w:type="dxa" w:w="8064"/>
          </w:tcPr>
          <w:p>
            <w:r/>
            <w:r>
              <w:rPr>
                <w:rFonts w:ascii="Times New Roman" w:hAnsi="Times New Roman" w:cs="Times New Roman"/>
                <w:b w:val="0"/>
                <w:i w:val="0"/>
                <w:sz w:val="18"/>
                <w:u w:val="none"/>
              </w:rPr>
              <w:t>Accept assignment on notice without consent in favour of an Affiliate or a successor in a merger or sale of substantially all of the assignee's assets, provided the assignee is not a competitor.</w:t>
            </w:r>
          </w:p>
        </w:tc>
      </w:tr>
      <w:tr>
        <w:tc>
          <w:tcPr>
            <w:tcW w:type="dxa" w:w="2160"/>
          </w:tcPr>
          <w:p>
            <w:r/>
            <w:r>
              <w:rPr>
                <w:rFonts w:ascii="Times New Roman" w:hAnsi="Times New Roman" w:cs="Times New Roman"/>
                <w:b w:val="0"/>
                <w:i w:val="0"/>
                <w:sz w:val="18"/>
                <w:u w:val="none"/>
              </w:rPr>
              <w:t>Fallback 2</w:t>
            </w:r>
          </w:p>
        </w:tc>
        <w:tc>
          <w:tcPr>
            <w:tcW w:type="dxa" w:w="8064"/>
          </w:tcPr>
          <w:p>
            <w:r/>
            <w:r>
              <w:rPr>
                <w:rFonts w:ascii="Times New Roman" w:hAnsi="Times New Roman" w:cs="Times New Roman"/>
                <w:b w:val="0"/>
                <w:i w:val="0"/>
                <w:sz w:val="18"/>
                <w:u w:val="none"/>
              </w:rPr>
              <w:t>Accept assignment to any successor on 15 days' notice, keeping the right for Northwind to object where the assignee is a direct competitor.</w:t>
            </w:r>
          </w:p>
        </w:tc>
      </w:tr>
      <w:tr>
        <w:tc>
          <w:tcPr>
            <w:tcW w:type="dxa" w:w="2160"/>
          </w:tcPr>
          <w:p>
            <w:r/>
            <w:r>
              <w:rPr>
                <w:rFonts w:ascii="Times New Roman" w:hAnsi="Times New Roman" w:cs="Times New Roman"/>
                <w:b w:val="0"/>
                <w:i w:val="0"/>
                <w:sz w:val="18"/>
                <w:u w:val="none"/>
              </w:rPr>
              <w:t>Walk-away / red line</w:t>
            </w:r>
          </w:p>
        </w:tc>
        <w:tc>
          <w:tcPr>
            <w:tcW w:type="dxa" w:w="8064"/>
          </w:tcPr>
          <w:p>
            <w:r/>
            <w:r>
              <w:rPr>
                <w:rFonts w:ascii="Times New Roman" w:hAnsi="Times New Roman" w:cs="Times New Roman"/>
                <w:b w:val="0"/>
                <w:i w:val="0"/>
                <w:sz w:val="18"/>
                <w:u w:val="none"/>
              </w:rPr>
              <w:t>Free assignment by Customer to any third party, including a competitor of Northwind. Also any Customer consent right that is absolute (that is, 'not to be withheld' rather than 'not to be unreasonably withheld').</w:t>
            </w:r>
          </w:p>
        </w:tc>
      </w:tr>
      <w:tr>
        <w:tc>
          <w:tcPr>
            <w:tcW w:type="dxa" w:w="2160"/>
          </w:tcPr>
          <w:p>
            <w:r/>
            <w:r>
              <w:rPr>
                <w:rFonts w:ascii="Times New Roman" w:hAnsi="Times New Roman" w:cs="Times New Roman"/>
                <w:b w:val="0"/>
                <w:i w:val="0"/>
                <w:sz w:val="18"/>
                <w:u w:val="none"/>
              </w:rPr>
              <w:t>Drafting note</w:t>
            </w:r>
          </w:p>
        </w:tc>
        <w:tc>
          <w:tcPr>
            <w:tcW w:type="dxa" w:w="8064"/>
          </w:tcPr>
          <w:p>
            <w:r/>
            <w:r>
              <w:rPr>
                <w:rFonts w:ascii="Times New Roman" w:hAnsi="Times New Roman" w:cs="Times New Roman"/>
                <w:b w:val="0"/>
                <w:i w:val="0"/>
                <w:sz w:val="18"/>
                <w:u w:val="none"/>
              </w:rPr>
              <w:t>Assignment is a live risk for a SaaS vendor in the middle of enterprise deals: a customer can be acquired by a competitor and keep your roadmap and your pricing. The competitor carve-out is not paranoia, it is a normal supplier term.</w:t>
            </w:r>
          </w:p>
        </w:tc>
      </w:tr>
      <w:tr>
        <w:tc>
          <w:tcPr>
            <w:tcW w:type="dxa" w:w="2160"/>
          </w:tcPr>
          <w:p>
            <w:r/>
            <w:r>
              <w:rPr>
                <w:rFonts w:ascii="Times New Roman" w:hAnsi="Times New Roman" w:cs="Times New Roman"/>
                <w:b w:val="0"/>
                <w:i w:val="0"/>
                <w:sz w:val="18"/>
                <w:u w:val="none"/>
              </w:rPr>
              <w:t>Sample wording</w:t>
            </w:r>
          </w:p>
        </w:tc>
        <w:tc>
          <w:tcPr>
            <w:tcW w:type="dxa" w:w="8064"/>
          </w:tcPr>
          <w:p>
            <w:r/>
            <w:r>
              <w:rPr>
                <w:rFonts w:ascii="Times New Roman" w:hAnsi="Times New Roman" w:cs="Times New Roman"/>
                <w:b w:val="0"/>
                <w:i w:val="0"/>
                <w:sz w:val="18"/>
                <w:u w:val="none"/>
              </w:rPr>
              <w:t>Neither party may assign or otherwise transfer this Agreement without the prior written consent of the other party, such consent not to be unreasonably withheld or delayed, except that either party may assign this Agreement without consent to an Affiliate or to a successor in connection with a merger, reorganisation or sale of all or substantially all of its assets, on written notice. Northwind may terminate this Agreement if Customer assigns it to, or its control passes to, a person that is a competitor of Northwind.</w:t>
            </w:r>
          </w:p>
        </w:tc>
      </w:tr>
    </w:tbl>
    <w:p>
      <w:pPr/>
    </w:p>
    <w:p>
      <w:pPr>
        <w:spacing w:before="120" w:after="60" w:line="276" w:lineRule="auto"/>
      </w:pPr>
      <w:r>
        <w:rPr>
          <w:rFonts w:ascii="Times New Roman" w:hAnsi="Times New Roman" w:cs="Times New Roman"/>
          <w:b/>
          <w:i w:val="0"/>
          <w:sz w:val="21"/>
          <w:u w:val="none"/>
        </w:rPr>
        <w:t>P20. Governing law and dispute resolution</w:t>
      </w:r>
    </w:p>
    <w:tbl>
      <w:tblPr>
        <w:tblStyle w:val="TableGrid"/>
        <w:tblW w:type="auto" w:w="0"/>
        <w:tblLook w:firstColumn="1" w:firstRow="1" w:lastColumn="0" w:lastRow="0" w:noHBand="0" w:noVBand="1" w:val="04A0"/>
      </w:tblPr>
      <w:tblGrid>
        <w:gridCol w:w="4680"/>
        <w:gridCol w:w="4680"/>
      </w:tblGrid>
      <w:tr>
        <w:tc>
          <w:tcPr>
            <w:tcW w:type="dxa" w:w="2160"/>
          </w:tcPr>
          <w:p>
            <w:r/>
            <w:r>
              <w:rPr>
                <w:rFonts w:ascii="Times New Roman" w:hAnsi="Times New Roman" w:cs="Times New Roman"/>
                <w:b/>
                <w:i w:val="0"/>
                <w:sz w:val="18"/>
                <w:u w:val="none"/>
              </w:rPr>
              <w:t>Field</w:t>
            </w:r>
          </w:p>
        </w:tc>
        <w:tc>
          <w:tcPr>
            <w:tcW w:type="dxa" w:w="8064"/>
          </w:tcPr>
          <w:p>
            <w:r/>
            <w:r>
              <w:rPr>
                <w:rFonts w:ascii="Times New Roman" w:hAnsi="Times New Roman" w:cs="Times New Roman"/>
                <w:b/>
                <w:i w:val="0"/>
                <w:sz w:val="18"/>
                <w:u w:val="none"/>
              </w:rPr>
              <w:t>Position</w:t>
            </w:r>
          </w:p>
        </w:tc>
      </w:tr>
      <w:tr>
        <w:tc>
          <w:tcPr>
            <w:tcW w:type="dxa" w:w="2160"/>
          </w:tcPr>
          <w:p>
            <w:r/>
            <w:r>
              <w:rPr>
                <w:rFonts w:ascii="Times New Roman" w:hAnsi="Times New Roman" w:cs="Times New Roman"/>
                <w:b w:val="0"/>
                <w:i w:val="0"/>
                <w:sz w:val="18"/>
                <w:u w:val="none"/>
              </w:rPr>
              <w:t>Ref</w:t>
            </w:r>
          </w:p>
        </w:tc>
        <w:tc>
          <w:tcPr>
            <w:tcW w:type="dxa" w:w="8064"/>
          </w:tcPr>
          <w:p>
            <w:r/>
            <w:r>
              <w:rPr>
                <w:rFonts w:ascii="Times New Roman" w:hAnsi="Times New Roman" w:cs="Times New Roman"/>
                <w:b w:val="0"/>
                <w:i w:val="0"/>
                <w:sz w:val="18"/>
                <w:u w:val="none"/>
              </w:rPr>
              <w:t>P20</w:t>
            </w:r>
          </w:p>
        </w:tc>
      </w:tr>
      <w:tr>
        <w:tc>
          <w:tcPr>
            <w:tcW w:type="dxa" w:w="2160"/>
          </w:tcPr>
          <w:p>
            <w:r/>
            <w:r>
              <w:rPr>
                <w:rFonts w:ascii="Times New Roman" w:hAnsi="Times New Roman" w:cs="Times New Roman"/>
                <w:b w:val="0"/>
                <w:i w:val="0"/>
                <w:sz w:val="18"/>
                <w:u w:val="none"/>
              </w:rPr>
              <w:t>Applies to</w:t>
            </w:r>
          </w:p>
        </w:tc>
        <w:tc>
          <w:tcPr>
            <w:tcW w:type="dxa" w:w="8064"/>
          </w:tcPr>
          <w:p>
            <w:r/>
            <w:r>
              <w:rPr>
                <w:rFonts w:ascii="Times New Roman" w:hAnsi="Times New Roman" w:cs="Times New Roman"/>
                <w:b w:val="0"/>
                <w:i w:val="0"/>
                <w:sz w:val="18"/>
                <w:u w:val="none"/>
              </w:rPr>
              <w:t>MSA, order form</w:t>
            </w:r>
          </w:p>
        </w:tc>
      </w:tr>
      <w:tr>
        <w:tc>
          <w:tcPr>
            <w:tcW w:type="dxa" w:w="2160"/>
          </w:tcPr>
          <w:p>
            <w:r/>
            <w:r>
              <w:rPr>
                <w:rFonts w:ascii="Times New Roman" w:hAnsi="Times New Roman" w:cs="Times New Roman"/>
                <w:b w:val="0"/>
                <w:i w:val="0"/>
                <w:sz w:val="18"/>
                <w:u w:val="none"/>
              </w:rPr>
              <w:t>Standard position</w:t>
            </w:r>
          </w:p>
        </w:tc>
        <w:tc>
          <w:tcPr>
            <w:tcW w:type="dxa" w:w="8064"/>
          </w:tcPr>
          <w:p>
            <w:r/>
            <w:r>
              <w:rPr>
                <w:rFonts w:ascii="Times New Roman" w:hAnsi="Times New Roman" w:cs="Times New Roman"/>
                <w:b w:val="0"/>
                <w:i w:val="0"/>
                <w:sz w:val="18"/>
                <w:u w:val="none"/>
              </w:rPr>
              <w:t>Governing law: Delaware. Exclusive jurisdiction: the state and federal courts sitting in Wilmington, Delaware. No requirement to arbitrate.</w:t>
            </w:r>
          </w:p>
        </w:tc>
      </w:tr>
      <w:tr>
        <w:tc>
          <w:tcPr>
            <w:tcW w:type="dxa" w:w="2160"/>
          </w:tcPr>
          <w:p>
            <w:r/>
            <w:r>
              <w:rPr>
                <w:rFonts w:ascii="Times New Roman" w:hAnsi="Times New Roman" w:cs="Times New Roman"/>
                <w:b w:val="0"/>
                <w:i w:val="0"/>
                <w:sz w:val="18"/>
                <w:u w:val="none"/>
              </w:rPr>
              <w:t>Fallback 1</w:t>
            </w:r>
          </w:p>
        </w:tc>
        <w:tc>
          <w:tcPr>
            <w:tcW w:type="dxa" w:w="8064"/>
          </w:tcPr>
          <w:p>
            <w:r/>
            <w:r>
              <w:rPr>
                <w:rFonts w:ascii="Times New Roman" w:hAnsi="Times New Roman" w:cs="Times New Roman"/>
                <w:b w:val="0"/>
                <w:i w:val="0"/>
                <w:sz w:val="18"/>
                <w:u w:val="none"/>
              </w:rPr>
              <w:t>Governing law: New York, with exclusive jurisdiction in the state and federal courts sitting in New York County.</w:t>
            </w:r>
          </w:p>
        </w:tc>
      </w:tr>
      <w:tr>
        <w:tc>
          <w:tcPr>
            <w:tcW w:type="dxa" w:w="2160"/>
          </w:tcPr>
          <w:p>
            <w:r/>
            <w:r>
              <w:rPr>
                <w:rFonts w:ascii="Times New Roman" w:hAnsi="Times New Roman" w:cs="Times New Roman"/>
                <w:b w:val="0"/>
                <w:i w:val="0"/>
                <w:sz w:val="18"/>
                <w:u w:val="none"/>
              </w:rPr>
              <w:t>Fallback 2</w:t>
            </w:r>
          </w:p>
        </w:tc>
        <w:tc>
          <w:tcPr>
            <w:tcW w:type="dxa" w:w="8064"/>
          </w:tcPr>
          <w:p>
            <w:r/>
            <w:r>
              <w:rPr>
                <w:rFonts w:ascii="Times New Roman" w:hAnsi="Times New Roman" w:cs="Times New Roman"/>
                <w:b w:val="0"/>
                <w:i w:val="0"/>
                <w:sz w:val="18"/>
                <w:u w:val="none"/>
              </w:rPr>
              <w:t>Accept arbitration under the rules of the International Chamber of Commerce, three arbitrators, seat London, English language, with a carve-out permitting either party to seek urgent injunctive relief in the courts of the governing law jurisdiction.</w:t>
            </w:r>
          </w:p>
        </w:tc>
      </w:tr>
      <w:tr>
        <w:tc>
          <w:tcPr>
            <w:tcW w:type="dxa" w:w="2160"/>
          </w:tcPr>
          <w:p>
            <w:r/>
            <w:r>
              <w:rPr>
                <w:rFonts w:ascii="Times New Roman" w:hAnsi="Times New Roman" w:cs="Times New Roman"/>
                <w:b w:val="0"/>
                <w:i w:val="0"/>
                <w:sz w:val="18"/>
                <w:u w:val="none"/>
              </w:rPr>
              <w:t>Walk-away / red line</w:t>
            </w:r>
          </w:p>
        </w:tc>
        <w:tc>
          <w:tcPr>
            <w:tcW w:type="dxa" w:w="8064"/>
          </w:tcPr>
          <w:p>
            <w:r/>
            <w:r>
              <w:rPr>
                <w:rFonts w:ascii="Times New Roman" w:hAnsi="Times New Roman" w:cs="Times New Roman"/>
                <w:b w:val="0"/>
                <w:i w:val="0"/>
                <w:sz w:val="18"/>
                <w:u w:val="none"/>
              </w:rPr>
              <w:t>Governing law in a jurisdiction where Northwind has no presence and no local counsel on standby, for a deal below Tier 1. Also any provision that caps Customer's right to injunctive relief for breach of confidentiality.</w:t>
            </w:r>
          </w:p>
        </w:tc>
      </w:tr>
      <w:tr>
        <w:tc>
          <w:tcPr>
            <w:tcW w:type="dxa" w:w="2160"/>
          </w:tcPr>
          <w:p>
            <w:r/>
            <w:r>
              <w:rPr>
                <w:rFonts w:ascii="Times New Roman" w:hAnsi="Times New Roman" w:cs="Times New Roman"/>
                <w:b w:val="0"/>
                <w:i w:val="0"/>
                <w:sz w:val="18"/>
                <w:u w:val="none"/>
              </w:rPr>
              <w:t>Drafting note</w:t>
            </w:r>
          </w:p>
        </w:tc>
        <w:tc>
          <w:tcPr>
            <w:tcW w:type="dxa" w:w="8064"/>
          </w:tcPr>
          <w:p>
            <w:r/>
            <w:r>
              <w:rPr>
                <w:rFonts w:ascii="Times New Roman" w:hAnsi="Times New Roman" w:cs="Times New Roman"/>
                <w:b w:val="0"/>
                <w:i w:val="0"/>
                <w:sz w:val="18"/>
                <w:u w:val="none"/>
              </w:rPr>
              <w:t>Arbitration is genuinely acceptable and often preferred by enterprise customers, because it reads as even-handed. It only becomes a problem when the seat is somewhere we have no counsel and the language is not English. Do not resist arbitration on principle.</w:t>
            </w:r>
          </w:p>
        </w:tc>
      </w:tr>
      <w:tr>
        <w:tc>
          <w:tcPr>
            <w:tcW w:type="dxa" w:w="2160"/>
          </w:tcPr>
          <w:p>
            <w:r/>
            <w:r>
              <w:rPr>
                <w:rFonts w:ascii="Times New Roman" w:hAnsi="Times New Roman" w:cs="Times New Roman"/>
                <w:b w:val="0"/>
                <w:i w:val="0"/>
                <w:sz w:val="18"/>
                <w:u w:val="none"/>
              </w:rPr>
              <w:t>Sample wording</w:t>
            </w:r>
          </w:p>
        </w:tc>
        <w:tc>
          <w:tcPr>
            <w:tcW w:type="dxa" w:w="8064"/>
          </w:tcPr>
          <w:p>
            <w:r/>
            <w:r>
              <w:rPr>
                <w:rFonts w:ascii="Times New Roman" w:hAnsi="Times New Roman" w:cs="Times New Roman"/>
                <w:b w:val="0"/>
                <w:i w:val="0"/>
                <w:sz w:val="18"/>
                <w:u w:val="none"/>
              </w:rPr>
              <w:t>This Agreement and any dispute arising out of or in connection with it are governed by the laws of the State of Delaware, excluding its conflict of laws rules. The parties submit to the exclusive jurisdiction of the state and federal courts sitting in Wilmington, Delaware.</w:t>
            </w:r>
          </w:p>
        </w:tc>
      </w:tr>
    </w:tbl>
    <w:p>
      <w:pPr/>
    </w:p>
    <w:p>
      <w:pPr>
        <w:spacing w:before="120" w:after="60" w:line="276" w:lineRule="auto"/>
      </w:pPr>
      <w:r>
        <w:rPr>
          <w:rFonts w:ascii="Times New Roman" w:hAnsi="Times New Roman" w:cs="Times New Roman"/>
          <w:b/>
          <w:i w:val="0"/>
          <w:sz w:val="21"/>
          <w:u w:val="none"/>
        </w:rPr>
        <w:t>P21. Force majeure</w:t>
      </w:r>
    </w:p>
    <w:tbl>
      <w:tblPr>
        <w:tblStyle w:val="TableGrid"/>
        <w:tblW w:type="auto" w:w="0"/>
        <w:tblLook w:firstColumn="1" w:firstRow="1" w:lastColumn="0" w:lastRow="0" w:noHBand="0" w:noVBand="1" w:val="04A0"/>
      </w:tblPr>
      <w:tblGrid>
        <w:gridCol w:w="4680"/>
        <w:gridCol w:w="4680"/>
      </w:tblGrid>
      <w:tr>
        <w:tc>
          <w:tcPr>
            <w:tcW w:type="dxa" w:w="2160"/>
          </w:tcPr>
          <w:p>
            <w:r/>
            <w:r>
              <w:rPr>
                <w:rFonts w:ascii="Times New Roman" w:hAnsi="Times New Roman" w:cs="Times New Roman"/>
                <w:b/>
                <w:i w:val="0"/>
                <w:sz w:val="18"/>
                <w:u w:val="none"/>
              </w:rPr>
              <w:t>Field</w:t>
            </w:r>
          </w:p>
        </w:tc>
        <w:tc>
          <w:tcPr>
            <w:tcW w:type="dxa" w:w="8064"/>
          </w:tcPr>
          <w:p>
            <w:r/>
            <w:r>
              <w:rPr>
                <w:rFonts w:ascii="Times New Roman" w:hAnsi="Times New Roman" w:cs="Times New Roman"/>
                <w:b/>
                <w:i w:val="0"/>
                <w:sz w:val="18"/>
                <w:u w:val="none"/>
              </w:rPr>
              <w:t>Position</w:t>
            </w:r>
          </w:p>
        </w:tc>
      </w:tr>
      <w:tr>
        <w:tc>
          <w:tcPr>
            <w:tcW w:type="dxa" w:w="2160"/>
          </w:tcPr>
          <w:p>
            <w:r/>
            <w:r>
              <w:rPr>
                <w:rFonts w:ascii="Times New Roman" w:hAnsi="Times New Roman" w:cs="Times New Roman"/>
                <w:b w:val="0"/>
                <w:i w:val="0"/>
                <w:sz w:val="18"/>
                <w:u w:val="none"/>
              </w:rPr>
              <w:t>Ref</w:t>
            </w:r>
          </w:p>
        </w:tc>
        <w:tc>
          <w:tcPr>
            <w:tcW w:type="dxa" w:w="8064"/>
          </w:tcPr>
          <w:p>
            <w:r/>
            <w:r>
              <w:rPr>
                <w:rFonts w:ascii="Times New Roman" w:hAnsi="Times New Roman" w:cs="Times New Roman"/>
                <w:b w:val="0"/>
                <w:i w:val="0"/>
                <w:sz w:val="18"/>
                <w:u w:val="none"/>
              </w:rPr>
              <w:t>P21</w:t>
            </w:r>
          </w:p>
        </w:tc>
      </w:tr>
      <w:tr>
        <w:tc>
          <w:tcPr>
            <w:tcW w:type="dxa" w:w="2160"/>
          </w:tcPr>
          <w:p>
            <w:r/>
            <w:r>
              <w:rPr>
                <w:rFonts w:ascii="Times New Roman" w:hAnsi="Times New Roman" w:cs="Times New Roman"/>
                <w:b w:val="0"/>
                <w:i w:val="0"/>
                <w:sz w:val="18"/>
                <w:u w:val="none"/>
              </w:rPr>
              <w:t>Applies to</w:t>
            </w:r>
          </w:p>
        </w:tc>
        <w:tc>
          <w:tcPr>
            <w:tcW w:type="dxa" w:w="8064"/>
          </w:tcPr>
          <w:p>
            <w:r/>
            <w:r>
              <w:rPr>
                <w:rFonts w:ascii="Times New Roman" w:hAnsi="Times New Roman" w:cs="Times New Roman"/>
                <w:b w:val="0"/>
                <w:i w:val="0"/>
                <w:sz w:val="18"/>
                <w:u w:val="none"/>
              </w:rPr>
              <w:t>MSA</w:t>
            </w:r>
          </w:p>
        </w:tc>
      </w:tr>
      <w:tr>
        <w:tc>
          <w:tcPr>
            <w:tcW w:type="dxa" w:w="2160"/>
          </w:tcPr>
          <w:p>
            <w:r/>
            <w:r>
              <w:rPr>
                <w:rFonts w:ascii="Times New Roman" w:hAnsi="Times New Roman" w:cs="Times New Roman"/>
                <w:b w:val="0"/>
                <w:i w:val="0"/>
                <w:sz w:val="18"/>
                <w:u w:val="none"/>
              </w:rPr>
              <w:t>Standard position</w:t>
            </w:r>
          </w:p>
        </w:tc>
        <w:tc>
          <w:tcPr>
            <w:tcW w:type="dxa" w:w="8064"/>
          </w:tcPr>
          <w:p>
            <w:r/>
            <w:r>
              <w:rPr>
                <w:rFonts w:ascii="Times New Roman" w:hAnsi="Times New Roman" w:cs="Times New Roman"/>
                <w:b w:val="0"/>
                <w:i w:val="0"/>
                <w:sz w:val="18"/>
                <w:u w:val="none"/>
              </w:rPr>
              <w:t>Force majeure excuses performance only to the extent the event actually prevents performance, and only where the affected party gives notice within 10 days and uses reasonable endeavours to mitigate. Force majeure does not excuse payment of amounts already accrued, or any obligation to maintain the security programme or to comply with data protection law. If the event continues for more than 60 days either party may terminate the affected Order Form.</w:t>
            </w:r>
          </w:p>
        </w:tc>
      </w:tr>
      <w:tr>
        <w:tc>
          <w:tcPr>
            <w:tcW w:type="dxa" w:w="2160"/>
          </w:tcPr>
          <w:p>
            <w:r/>
            <w:r>
              <w:rPr>
                <w:rFonts w:ascii="Times New Roman" w:hAnsi="Times New Roman" w:cs="Times New Roman"/>
                <w:b w:val="0"/>
                <w:i w:val="0"/>
                <w:sz w:val="18"/>
                <w:u w:val="none"/>
              </w:rPr>
              <w:t>Fallback 1</w:t>
            </w:r>
          </w:p>
        </w:tc>
        <w:tc>
          <w:tcPr>
            <w:tcW w:type="dxa" w:w="8064"/>
          </w:tcPr>
          <w:p>
            <w:r/>
            <w:r>
              <w:rPr>
                <w:rFonts w:ascii="Times New Roman" w:hAnsi="Times New Roman" w:cs="Times New Roman"/>
                <w:b w:val="0"/>
                <w:i w:val="0"/>
                <w:sz w:val="18"/>
                <w:u w:val="none"/>
              </w:rPr>
              <w:t>Accept a 30-day notice period for the force majeure notice and a 90-day termination trigger, keeping the payment and security carve-outs.</w:t>
            </w:r>
          </w:p>
        </w:tc>
      </w:tr>
      <w:tr>
        <w:tc>
          <w:tcPr>
            <w:tcW w:type="dxa" w:w="2160"/>
          </w:tcPr>
          <w:p>
            <w:r/>
            <w:r>
              <w:rPr>
                <w:rFonts w:ascii="Times New Roman" w:hAnsi="Times New Roman" w:cs="Times New Roman"/>
                <w:b w:val="0"/>
                <w:i w:val="0"/>
                <w:sz w:val="18"/>
                <w:u w:val="none"/>
              </w:rPr>
              <w:t>Fallback 2</w:t>
            </w:r>
          </w:p>
        </w:tc>
        <w:tc>
          <w:tcPr>
            <w:tcW w:type="dxa" w:w="8064"/>
          </w:tcPr>
          <w:p>
            <w:r/>
            <w:r>
              <w:rPr>
                <w:rFonts w:ascii="Times New Roman" w:hAnsi="Times New Roman" w:cs="Times New Roman"/>
                <w:b w:val="0"/>
                <w:i w:val="0"/>
                <w:sz w:val="18"/>
                <w:u w:val="none"/>
              </w:rPr>
              <w:t>Accept the addition of supply chain disruption and shortage of third-party cloud capacity to the definition of force majeure, keeping the mitigation duty and the 60-day termination trigger.</w:t>
            </w:r>
          </w:p>
        </w:tc>
      </w:tr>
      <w:tr>
        <w:tc>
          <w:tcPr>
            <w:tcW w:type="dxa" w:w="2160"/>
          </w:tcPr>
          <w:p>
            <w:r/>
            <w:r>
              <w:rPr>
                <w:rFonts w:ascii="Times New Roman" w:hAnsi="Times New Roman" w:cs="Times New Roman"/>
                <w:b w:val="0"/>
                <w:i w:val="0"/>
                <w:sz w:val="18"/>
                <w:u w:val="none"/>
              </w:rPr>
              <w:t>Walk-away / red line</w:t>
            </w:r>
          </w:p>
        </w:tc>
        <w:tc>
          <w:tcPr>
            <w:tcW w:type="dxa" w:w="8064"/>
          </w:tcPr>
          <w:p>
            <w:r/>
            <w:r>
              <w:rPr>
                <w:rFonts w:ascii="Times New Roman" w:hAnsi="Times New Roman" w:cs="Times New Roman"/>
                <w:b w:val="0"/>
                <w:i w:val="0"/>
                <w:sz w:val="18"/>
                <w:u w:val="none"/>
              </w:rPr>
              <w:t>Any force majeure clause that excuses the obligation to pay Charges, or that has no duty to mitigate. Also a definition that includes 'financial hardship' or 'market conditions'.</w:t>
            </w:r>
          </w:p>
        </w:tc>
      </w:tr>
      <w:tr>
        <w:tc>
          <w:tcPr>
            <w:tcW w:type="dxa" w:w="2160"/>
          </w:tcPr>
          <w:p>
            <w:r/>
            <w:r>
              <w:rPr>
                <w:rFonts w:ascii="Times New Roman" w:hAnsi="Times New Roman" w:cs="Times New Roman"/>
                <w:b w:val="0"/>
                <w:i w:val="0"/>
                <w:sz w:val="18"/>
                <w:u w:val="none"/>
              </w:rPr>
              <w:t>Drafting note</w:t>
            </w:r>
          </w:p>
        </w:tc>
        <w:tc>
          <w:tcPr>
            <w:tcW w:type="dxa" w:w="8064"/>
          </w:tcPr>
          <w:p>
            <w:r/>
            <w:r>
              <w:rPr>
                <w:rFonts w:ascii="Times New Roman" w:hAnsi="Times New Roman" w:cs="Times New Roman"/>
                <w:b w:val="0"/>
                <w:i w:val="0"/>
                <w:sz w:val="18"/>
                <w:u w:val="none"/>
              </w:rPr>
              <w:t>Adding cloud capacity shortage to the definition of force majeure is reasonable and we accept it. Adding 'general economic conditions' or 'our inability to obtain financing' is not, and it should be escalated if it appears.</w:t>
            </w:r>
          </w:p>
        </w:tc>
      </w:tr>
      <w:tr>
        <w:tc>
          <w:tcPr>
            <w:tcW w:type="dxa" w:w="2160"/>
          </w:tcPr>
          <w:p>
            <w:r/>
            <w:r>
              <w:rPr>
                <w:rFonts w:ascii="Times New Roman" w:hAnsi="Times New Roman" w:cs="Times New Roman"/>
                <w:b w:val="0"/>
                <w:i w:val="0"/>
                <w:sz w:val="18"/>
                <w:u w:val="none"/>
              </w:rPr>
              <w:t>Sample wording</w:t>
            </w:r>
          </w:p>
        </w:tc>
        <w:tc>
          <w:tcPr>
            <w:tcW w:type="dxa" w:w="8064"/>
          </w:tcPr>
          <w:p>
            <w:r/>
            <w:r>
              <w:rPr>
                <w:rFonts w:ascii="Times New Roman" w:hAnsi="Times New Roman" w:cs="Times New Roman"/>
                <w:b w:val="0"/>
                <w:i w:val="0"/>
                <w:sz w:val="18"/>
                <w:u w:val="none"/>
              </w:rPr>
              <w:t>Neither party is liable for any failure or delay in performing its obligations under this Agreement to the extent that the failure or delay is caused by an event beyond its reasonable control, provided that the affected party notifies the other within ten (10) days and uses reasonable endeavours to mitigate the effect. Force majeure does not excuse a party's obligation to pay Charges accrued before the event, to maintain its information security programme, or to comply with applicable data protection law. If the event continues for more than sixty (60) days, either party may terminate the affected Order Form on written notice.</w:t>
            </w:r>
          </w:p>
        </w:tc>
      </w:tr>
    </w:tbl>
    <w:p>
      <w:pPr/>
    </w:p>
    <w:p>
      <w:pPr>
        <w:spacing w:before="120" w:after="60" w:line="276" w:lineRule="auto"/>
      </w:pPr>
      <w:r>
        <w:rPr>
          <w:rFonts w:ascii="Times New Roman" w:hAnsi="Times New Roman" w:cs="Times New Roman"/>
          <w:b/>
          <w:i w:val="0"/>
          <w:sz w:val="21"/>
          <w:u w:val="none"/>
        </w:rPr>
        <w:t>P22. Insurance</w:t>
      </w:r>
    </w:p>
    <w:tbl>
      <w:tblPr>
        <w:tblStyle w:val="TableGrid"/>
        <w:tblW w:type="auto" w:w="0"/>
        <w:tblLook w:firstColumn="1" w:firstRow="1" w:lastColumn="0" w:lastRow="0" w:noHBand="0" w:noVBand="1" w:val="04A0"/>
      </w:tblPr>
      <w:tblGrid>
        <w:gridCol w:w="4680"/>
        <w:gridCol w:w="4680"/>
      </w:tblGrid>
      <w:tr>
        <w:tc>
          <w:tcPr>
            <w:tcW w:type="dxa" w:w="2160"/>
          </w:tcPr>
          <w:p>
            <w:r/>
            <w:r>
              <w:rPr>
                <w:rFonts w:ascii="Times New Roman" w:hAnsi="Times New Roman" w:cs="Times New Roman"/>
                <w:b/>
                <w:i w:val="0"/>
                <w:sz w:val="18"/>
                <w:u w:val="none"/>
              </w:rPr>
              <w:t>Field</w:t>
            </w:r>
          </w:p>
        </w:tc>
        <w:tc>
          <w:tcPr>
            <w:tcW w:type="dxa" w:w="8064"/>
          </w:tcPr>
          <w:p>
            <w:r/>
            <w:r>
              <w:rPr>
                <w:rFonts w:ascii="Times New Roman" w:hAnsi="Times New Roman" w:cs="Times New Roman"/>
                <w:b/>
                <w:i w:val="0"/>
                <w:sz w:val="18"/>
                <w:u w:val="none"/>
              </w:rPr>
              <w:t>Position</w:t>
            </w:r>
          </w:p>
        </w:tc>
      </w:tr>
      <w:tr>
        <w:tc>
          <w:tcPr>
            <w:tcW w:type="dxa" w:w="2160"/>
          </w:tcPr>
          <w:p>
            <w:r/>
            <w:r>
              <w:rPr>
                <w:rFonts w:ascii="Times New Roman" w:hAnsi="Times New Roman" w:cs="Times New Roman"/>
                <w:b w:val="0"/>
                <w:i w:val="0"/>
                <w:sz w:val="18"/>
                <w:u w:val="none"/>
              </w:rPr>
              <w:t>Ref</w:t>
            </w:r>
          </w:p>
        </w:tc>
        <w:tc>
          <w:tcPr>
            <w:tcW w:type="dxa" w:w="8064"/>
          </w:tcPr>
          <w:p>
            <w:r/>
            <w:r>
              <w:rPr>
                <w:rFonts w:ascii="Times New Roman" w:hAnsi="Times New Roman" w:cs="Times New Roman"/>
                <w:b w:val="0"/>
                <w:i w:val="0"/>
                <w:sz w:val="18"/>
                <w:u w:val="none"/>
              </w:rPr>
              <w:t>P22</w:t>
            </w:r>
          </w:p>
        </w:tc>
      </w:tr>
      <w:tr>
        <w:tc>
          <w:tcPr>
            <w:tcW w:type="dxa" w:w="2160"/>
          </w:tcPr>
          <w:p>
            <w:r/>
            <w:r>
              <w:rPr>
                <w:rFonts w:ascii="Times New Roman" w:hAnsi="Times New Roman" w:cs="Times New Roman"/>
                <w:b w:val="0"/>
                <w:i w:val="0"/>
                <w:sz w:val="18"/>
                <w:u w:val="none"/>
              </w:rPr>
              <w:t>Applies to</w:t>
            </w:r>
          </w:p>
        </w:tc>
        <w:tc>
          <w:tcPr>
            <w:tcW w:type="dxa" w:w="8064"/>
          </w:tcPr>
          <w:p>
            <w:r/>
            <w:r>
              <w:rPr>
                <w:rFonts w:ascii="Times New Roman" w:hAnsi="Times New Roman" w:cs="Times New Roman"/>
                <w:b w:val="0"/>
                <w:i w:val="0"/>
                <w:sz w:val="18"/>
                <w:u w:val="none"/>
              </w:rPr>
              <w:t>MSA</w:t>
            </w:r>
          </w:p>
        </w:tc>
      </w:tr>
      <w:tr>
        <w:tc>
          <w:tcPr>
            <w:tcW w:type="dxa" w:w="2160"/>
          </w:tcPr>
          <w:p>
            <w:r/>
            <w:r>
              <w:rPr>
                <w:rFonts w:ascii="Times New Roman" w:hAnsi="Times New Roman" w:cs="Times New Roman"/>
                <w:b w:val="0"/>
                <w:i w:val="0"/>
                <w:sz w:val="18"/>
                <w:u w:val="none"/>
              </w:rPr>
              <w:t>Standard position</w:t>
            </w:r>
          </w:p>
        </w:tc>
        <w:tc>
          <w:tcPr>
            <w:tcW w:type="dxa" w:w="8064"/>
          </w:tcPr>
          <w:p>
            <w:r/>
            <w:r>
              <w:rPr>
                <w:rFonts w:ascii="Times New Roman" w:hAnsi="Times New Roman" w:cs="Times New Roman"/>
                <w:b w:val="0"/>
                <w:i w:val="0"/>
                <w:sz w:val="18"/>
                <w:u w:val="none"/>
              </w:rPr>
              <w:t>Northwind maintains cyber liability insurance of not less than USD 5,000,000 per claim and in the annual aggregate, technology errors and omissions of not less than USD 5,000,000, and commercial general liability of not less than USD 2,000,000. Certificates are provided on reasonable request. Our insurance does not limit our liability under the Agreement.</w:t>
            </w:r>
          </w:p>
        </w:tc>
      </w:tr>
      <w:tr>
        <w:tc>
          <w:tcPr>
            <w:tcW w:type="dxa" w:w="2160"/>
          </w:tcPr>
          <w:p>
            <w:r/>
            <w:r>
              <w:rPr>
                <w:rFonts w:ascii="Times New Roman" w:hAnsi="Times New Roman" w:cs="Times New Roman"/>
                <w:b w:val="0"/>
                <w:i w:val="0"/>
                <w:sz w:val="18"/>
                <w:u w:val="none"/>
              </w:rPr>
              <w:t>Fallback 1</w:t>
            </w:r>
          </w:p>
        </w:tc>
        <w:tc>
          <w:tcPr>
            <w:tcW w:type="dxa" w:w="8064"/>
          </w:tcPr>
          <w:p>
            <w:r/>
            <w:r>
              <w:rPr>
                <w:rFonts w:ascii="Times New Roman" w:hAnsi="Times New Roman" w:cs="Times New Roman"/>
                <w:b w:val="0"/>
                <w:i w:val="0"/>
                <w:sz w:val="18"/>
                <w:u w:val="none"/>
              </w:rPr>
              <w:t>Accept USD 2,000,000 cyber and technology E&amp;O for Tier 1 deals, keeping the statement that insurance does not limit liability.</w:t>
            </w:r>
          </w:p>
        </w:tc>
      </w:tr>
      <w:tr>
        <w:tc>
          <w:tcPr>
            <w:tcW w:type="dxa" w:w="2160"/>
          </w:tcPr>
          <w:p>
            <w:r/>
            <w:r>
              <w:rPr>
                <w:rFonts w:ascii="Times New Roman" w:hAnsi="Times New Roman" w:cs="Times New Roman"/>
                <w:b w:val="0"/>
                <w:i w:val="0"/>
                <w:sz w:val="18"/>
                <w:u w:val="none"/>
              </w:rPr>
              <w:t>Fallback 2</w:t>
            </w:r>
          </w:p>
        </w:tc>
        <w:tc>
          <w:tcPr>
            <w:tcW w:type="dxa" w:w="8064"/>
          </w:tcPr>
          <w:p>
            <w:r/>
            <w:r>
              <w:rPr>
                <w:rFonts w:ascii="Times New Roman" w:hAnsi="Times New Roman" w:cs="Times New Roman"/>
                <w:b w:val="0"/>
                <w:i w:val="0"/>
                <w:sz w:val="18"/>
                <w:u w:val="none"/>
              </w:rPr>
              <w:t>Accept that certificates are provided annually in summary form, rather than on each request.</w:t>
            </w:r>
          </w:p>
        </w:tc>
      </w:tr>
      <w:tr>
        <w:tc>
          <w:tcPr>
            <w:tcW w:type="dxa" w:w="2160"/>
          </w:tcPr>
          <w:p>
            <w:r/>
            <w:r>
              <w:rPr>
                <w:rFonts w:ascii="Times New Roman" w:hAnsi="Times New Roman" w:cs="Times New Roman"/>
                <w:b w:val="0"/>
                <w:i w:val="0"/>
                <w:sz w:val="18"/>
                <w:u w:val="none"/>
              </w:rPr>
              <w:t>Walk-away / red line</w:t>
            </w:r>
          </w:p>
        </w:tc>
        <w:tc>
          <w:tcPr>
            <w:tcW w:type="dxa" w:w="8064"/>
          </w:tcPr>
          <w:p>
            <w:r/>
            <w:r>
              <w:rPr>
                <w:rFonts w:ascii="Times New Roman" w:hAnsi="Times New Roman" w:cs="Times New Roman"/>
                <w:b w:val="0"/>
                <w:i w:val="0"/>
                <w:sz w:val="18"/>
                <w:u w:val="none"/>
              </w:rPr>
              <w:t>Any clause that caps our liability at the insurance proceeds. Also a requirement for umbrella or crime cover at limits we do not carry.</w:t>
            </w:r>
          </w:p>
        </w:tc>
      </w:tr>
      <w:tr>
        <w:tc>
          <w:tcPr>
            <w:tcW w:type="dxa" w:w="2160"/>
          </w:tcPr>
          <w:p>
            <w:r/>
            <w:r>
              <w:rPr>
                <w:rFonts w:ascii="Times New Roman" w:hAnsi="Times New Roman" w:cs="Times New Roman"/>
                <w:b w:val="0"/>
                <w:i w:val="0"/>
                <w:sz w:val="18"/>
                <w:u w:val="none"/>
              </w:rPr>
              <w:t>Drafting note</w:t>
            </w:r>
          </w:p>
        </w:tc>
        <w:tc>
          <w:tcPr>
            <w:tcW w:type="dxa" w:w="8064"/>
          </w:tcPr>
          <w:p>
            <w:r/>
            <w:r>
              <w:rPr>
                <w:rFonts w:ascii="Times New Roman" w:hAnsi="Times New Roman" w:cs="Times New Roman"/>
                <w:b w:val="0"/>
                <w:i w:val="0"/>
                <w:sz w:val="18"/>
                <w:u w:val="none"/>
              </w:rPr>
              <w:t>The 'insurance does not limit liability' sentence is the whole point of the clause. A customer paper that states our insurance proceeds are our maximum aggregate liability has converted an insurance requirement into a liability cap, and it interacts badly with our own cap carve-outs.</w:t>
            </w:r>
          </w:p>
        </w:tc>
      </w:tr>
      <w:tr>
        <w:tc>
          <w:tcPr>
            <w:tcW w:type="dxa" w:w="2160"/>
          </w:tcPr>
          <w:p>
            <w:r/>
            <w:r>
              <w:rPr>
                <w:rFonts w:ascii="Times New Roman" w:hAnsi="Times New Roman" w:cs="Times New Roman"/>
                <w:b w:val="0"/>
                <w:i w:val="0"/>
                <w:sz w:val="18"/>
                <w:u w:val="none"/>
              </w:rPr>
              <w:t>Sample wording</w:t>
            </w:r>
          </w:p>
        </w:tc>
        <w:tc>
          <w:tcPr>
            <w:tcW w:type="dxa" w:w="8064"/>
          </w:tcPr>
          <w:p>
            <w:r/>
            <w:r>
              <w:rPr>
                <w:rFonts w:ascii="Times New Roman" w:hAnsi="Times New Roman" w:cs="Times New Roman"/>
                <w:b w:val="0"/>
                <w:i w:val="0"/>
                <w:sz w:val="18"/>
                <w:u w:val="none"/>
              </w:rPr>
              <w:t>Northwind shall maintain cyber liability insurance and technology errors and omissions insurance of not less than USD 5,000,000 per claim and in the aggregate, and commercial general liability insurance of not less than USD 2,000,000 per occurrence. Northwind's insurance arrangements do not limit its liability under this Agreement. Northwind shall provide certificates of insurance on Customer's reasonable request.</w:t>
            </w:r>
          </w:p>
        </w:tc>
      </w:tr>
    </w:tbl>
    <w:p>
      <w:pPr/>
    </w:p>
    <w:p>
      <w:pPr>
        <w:spacing w:before="120" w:after="60" w:line="276" w:lineRule="auto"/>
      </w:pPr>
      <w:r>
        <w:rPr>
          <w:rFonts w:ascii="Times New Roman" w:hAnsi="Times New Roman" w:cs="Times New Roman"/>
          <w:b/>
          <w:i w:val="0"/>
          <w:sz w:val="21"/>
          <w:u w:val="none"/>
        </w:rPr>
        <w:t>P23. Publicity, marks and announcements</w:t>
      </w:r>
    </w:p>
    <w:tbl>
      <w:tblPr>
        <w:tblStyle w:val="TableGrid"/>
        <w:tblW w:type="auto" w:w="0"/>
        <w:tblLook w:firstColumn="1" w:firstRow="1" w:lastColumn="0" w:lastRow="0" w:noHBand="0" w:noVBand="1" w:val="04A0"/>
      </w:tblPr>
      <w:tblGrid>
        <w:gridCol w:w="4680"/>
        <w:gridCol w:w="4680"/>
      </w:tblGrid>
      <w:tr>
        <w:tc>
          <w:tcPr>
            <w:tcW w:type="dxa" w:w="2160"/>
          </w:tcPr>
          <w:p>
            <w:r/>
            <w:r>
              <w:rPr>
                <w:rFonts w:ascii="Times New Roman" w:hAnsi="Times New Roman" w:cs="Times New Roman"/>
                <w:b/>
                <w:i w:val="0"/>
                <w:sz w:val="18"/>
                <w:u w:val="none"/>
              </w:rPr>
              <w:t>Field</w:t>
            </w:r>
          </w:p>
        </w:tc>
        <w:tc>
          <w:tcPr>
            <w:tcW w:type="dxa" w:w="8064"/>
          </w:tcPr>
          <w:p>
            <w:r/>
            <w:r>
              <w:rPr>
                <w:rFonts w:ascii="Times New Roman" w:hAnsi="Times New Roman" w:cs="Times New Roman"/>
                <w:b/>
                <w:i w:val="0"/>
                <w:sz w:val="18"/>
                <w:u w:val="none"/>
              </w:rPr>
              <w:t>Position</w:t>
            </w:r>
          </w:p>
        </w:tc>
      </w:tr>
      <w:tr>
        <w:tc>
          <w:tcPr>
            <w:tcW w:type="dxa" w:w="2160"/>
          </w:tcPr>
          <w:p>
            <w:r/>
            <w:r>
              <w:rPr>
                <w:rFonts w:ascii="Times New Roman" w:hAnsi="Times New Roman" w:cs="Times New Roman"/>
                <w:b w:val="0"/>
                <w:i w:val="0"/>
                <w:sz w:val="18"/>
                <w:u w:val="none"/>
              </w:rPr>
              <w:t>Ref</w:t>
            </w:r>
          </w:p>
        </w:tc>
        <w:tc>
          <w:tcPr>
            <w:tcW w:type="dxa" w:w="8064"/>
          </w:tcPr>
          <w:p>
            <w:r/>
            <w:r>
              <w:rPr>
                <w:rFonts w:ascii="Times New Roman" w:hAnsi="Times New Roman" w:cs="Times New Roman"/>
                <w:b w:val="0"/>
                <w:i w:val="0"/>
                <w:sz w:val="18"/>
                <w:u w:val="none"/>
              </w:rPr>
              <w:t>P23</w:t>
            </w:r>
          </w:p>
        </w:tc>
      </w:tr>
      <w:tr>
        <w:tc>
          <w:tcPr>
            <w:tcW w:type="dxa" w:w="2160"/>
          </w:tcPr>
          <w:p>
            <w:r/>
            <w:r>
              <w:rPr>
                <w:rFonts w:ascii="Times New Roman" w:hAnsi="Times New Roman" w:cs="Times New Roman"/>
                <w:b w:val="0"/>
                <w:i w:val="0"/>
                <w:sz w:val="18"/>
                <w:u w:val="none"/>
              </w:rPr>
              <w:t>Applies to</w:t>
            </w:r>
          </w:p>
        </w:tc>
        <w:tc>
          <w:tcPr>
            <w:tcW w:type="dxa" w:w="8064"/>
          </w:tcPr>
          <w:p>
            <w:r/>
            <w:r>
              <w:rPr>
                <w:rFonts w:ascii="Times New Roman" w:hAnsi="Times New Roman" w:cs="Times New Roman"/>
                <w:b w:val="0"/>
                <w:i w:val="0"/>
                <w:sz w:val="18"/>
                <w:u w:val="none"/>
              </w:rPr>
              <w:t>MSA, NDA</w:t>
            </w:r>
          </w:p>
        </w:tc>
      </w:tr>
      <w:tr>
        <w:tc>
          <w:tcPr>
            <w:tcW w:type="dxa" w:w="2160"/>
          </w:tcPr>
          <w:p>
            <w:r/>
            <w:r>
              <w:rPr>
                <w:rFonts w:ascii="Times New Roman" w:hAnsi="Times New Roman" w:cs="Times New Roman"/>
                <w:b w:val="0"/>
                <w:i w:val="0"/>
                <w:sz w:val="18"/>
                <w:u w:val="none"/>
              </w:rPr>
              <w:t>Standard position</w:t>
            </w:r>
          </w:p>
        </w:tc>
        <w:tc>
          <w:tcPr>
            <w:tcW w:type="dxa" w:w="8064"/>
          </w:tcPr>
          <w:p>
            <w:r/>
            <w:r>
              <w:rPr>
                <w:rFonts w:ascii="Times New Roman" w:hAnsi="Times New Roman" w:cs="Times New Roman"/>
                <w:b w:val="0"/>
                <w:i w:val="0"/>
                <w:sz w:val="18"/>
                <w:u w:val="none"/>
              </w:rPr>
              <w:t>Neither party may use the other party's name, trade marks or logos without prior written consent, and no party issues a press release naming the other without the other's written consent. A customer logo licence is given only in a separate marketing agreement signed by both parties and is not implied by the MSA or by the Order Form.</w:t>
            </w:r>
          </w:p>
        </w:tc>
      </w:tr>
      <w:tr>
        <w:tc>
          <w:tcPr>
            <w:tcW w:type="dxa" w:w="2160"/>
          </w:tcPr>
          <w:p>
            <w:r/>
            <w:r>
              <w:rPr>
                <w:rFonts w:ascii="Times New Roman" w:hAnsi="Times New Roman" w:cs="Times New Roman"/>
                <w:b w:val="0"/>
                <w:i w:val="0"/>
                <w:sz w:val="18"/>
                <w:u w:val="none"/>
              </w:rPr>
              <w:t>Fallback 1</w:t>
            </w:r>
          </w:p>
        </w:tc>
        <w:tc>
          <w:tcPr>
            <w:tcW w:type="dxa" w:w="8064"/>
          </w:tcPr>
          <w:p>
            <w:r/>
            <w:r>
              <w:rPr>
                <w:rFonts w:ascii="Times New Roman" w:hAnsi="Times New Roman" w:cs="Times New Roman"/>
                <w:b w:val="0"/>
                <w:i w:val="0"/>
                <w:sz w:val="18"/>
                <w:u w:val="none"/>
              </w:rPr>
              <w:t>Accept a narrow right for either party to name the other in a customer list on its website, with no logo use and no case study without consent.</w:t>
            </w:r>
          </w:p>
        </w:tc>
      </w:tr>
      <w:tr>
        <w:tc>
          <w:tcPr>
            <w:tcW w:type="dxa" w:w="2160"/>
          </w:tcPr>
          <w:p>
            <w:r/>
            <w:r>
              <w:rPr>
                <w:rFonts w:ascii="Times New Roman" w:hAnsi="Times New Roman" w:cs="Times New Roman"/>
                <w:b w:val="0"/>
                <w:i w:val="0"/>
                <w:sz w:val="18"/>
                <w:u w:val="none"/>
              </w:rPr>
              <w:t>Fallback 2</w:t>
            </w:r>
          </w:p>
        </w:tc>
        <w:tc>
          <w:tcPr>
            <w:tcW w:type="dxa" w:w="8064"/>
          </w:tcPr>
          <w:p>
            <w:r/>
            <w:r>
              <w:rPr>
                <w:rFonts w:ascii="Times New Roman" w:hAnsi="Times New Roman" w:cs="Times New Roman"/>
                <w:b w:val="0"/>
                <w:i w:val="0"/>
                <w:sz w:val="18"/>
                <w:u w:val="none"/>
              </w:rPr>
              <w:t>Accept nothing beyond a mutual confidentiality and no-announcement clause, with all logo use handled separately.</w:t>
            </w:r>
          </w:p>
        </w:tc>
      </w:tr>
      <w:tr>
        <w:tc>
          <w:tcPr>
            <w:tcW w:type="dxa" w:w="2160"/>
          </w:tcPr>
          <w:p>
            <w:r/>
            <w:r>
              <w:rPr>
                <w:rFonts w:ascii="Times New Roman" w:hAnsi="Times New Roman" w:cs="Times New Roman"/>
                <w:b w:val="0"/>
                <w:i w:val="0"/>
                <w:sz w:val="18"/>
                <w:u w:val="none"/>
              </w:rPr>
              <w:t>Walk-away / red line</w:t>
            </w:r>
          </w:p>
        </w:tc>
        <w:tc>
          <w:tcPr>
            <w:tcW w:type="dxa" w:w="8064"/>
          </w:tcPr>
          <w:p>
            <w:r/>
            <w:r>
              <w:rPr>
                <w:rFonts w:ascii="Times New Roman" w:hAnsi="Times New Roman" w:cs="Times New Roman"/>
                <w:b w:val="0"/>
                <w:i w:val="0"/>
                <w:sz w:val="18"/>
                <w:u w:val="none"/>
              </w:rPr>
              <w:t>Any right for the customer to use our name in a way that implies we endorse it, or to require case-study participation as a condition of signature.</w:t>
            </w:r>
          </w:p>
        </w:tc>
      </w:tr>
      <w:tr>
        <w:tc>
          <w:tcPr>
            <w:tcW w:type="dxa" w:w="2160"/>
          </w:tcPr>
          <w:p>
            <w:r/>
            <w:r>
              <w:rPr>
                <w:rFonts w:ascii="Times New Roman" w:hAnsi="Times New Roman" w:cs="Times New Roman"/>
                <w:b w:val="0"/>
                <w:i w:val="0"/>
                <w:sz w:val="18"/>
                <w:u w:val="none"/>
              </w:rPr>
              <w:t>Drafting note</w:t>
            </w:r>
          </w:p>
        </w:tc>
        <w:tc>
          <w:tcPr>
            <w:tcW w:type="dxa" w:w="8064"/>
          </w:tcPr>
          <w:p>
            <w:r/>
            <w:r>
              <w:rPr>
                <w:rFonts w:ascii="Times New Roman" w:hAnsi="Times New Roman" w:cs="Times New Roman"/>
                <w:b w:val="0"/>
                <w:i w:val="0"/>
                <w:sz w:val="18"/>
                <w:u w:val="none"/>
              </w:rPr>
              <w:t>Frequently overlooked in customer papers drafted by marketing rather than legal. If a right to publish a case study appears in an NDA rather than an MSA, check whether it has been carried over from an earlier template and whether it is actually a commercial ask.</w:t>
            </w:r>
          </w:p>
        </w:tc>
      </w:tr>
    </w:tbl>
    <w:p>
      <w:pPr/>
    </w:p>
    <w:p>
      <w:pPr>
        <w:spacing w:before="120" w:after="60" w:line="276" w:lineRule="auto"/>
      </w:pPr>
      <w:r>
        <w:rPr>
          <w:rFonts w:ascii="Times New Roman" w:hAnsi="Times New Roman" w:cs="Times New Roman"/>
          <w:b/>
          <w:i w:val="0"/>
          <w:sz w:val="21"/>
          <w:u w:val="none"/>
        </w:rPr>
        <w:t>P24. Usage measurement, overage true-up and usage audit</w:t>
      </w:r>
    </w:p>
    <w:tbl>
      <w:tblPr>
        <w:tblStyle w:val="TableGrid"/>
        <w:tblW w:type="auto" w:w="0"/>
        <w:tblLook w:firstColumn="1" w:firstRow="1" w:lastColumn="0" w:lastRow="0" w:noHBand="0" w:noVBand="1" w:val="04A0"/>
      </w:tblPr>
      <w:tblGrid>
        <w:gridCol w:w="4680"/>
        <w:gridCol w:w="4680"/>
      </w:tblGrid>
      <w:tr>
        <w:tc>
          <w:tcPr>
            <w:tcW w:type="dxa" w:w="2160"/>
          </w:tcPr>
          <w:p>
            <w:r/>
            <w:r>
              <w:rPr>
                <w:rFonts w:ascii="Times New Roman" w:hAnsi="Times New Roman" w:cs="Times New Roman"/>
                <w:b/>
                <w:i w:val="0"/>
                <w:sz w:val="18"/>
                <w:u w:val="none"/>
              </w:rPr>
              <w:t>Field</w:t>
            </w:r>
          </w:p>
        </w:tc>
        <w:tc>
          <w:tcPr>
            <w:tcW w:type="dxa" w:w="8064"/>
          </w:tcPr>
          <w:p>
            <w:r/>
            <w:r>
              <w:rPr>
                <w:rFonts w:ascii="Times New Roman" w:hAnsi="Times New Roman" w:cs="Times New Roman"/>
                <w:b/>
                <w:i w:val="0"/>
                <w:sz w:val="18"/>
                <w:u w:val="none"/>
              </w:rPr>
              <w:t>Position</w:t>
            </w:r>
          </w:p>
        </w:tc>
      </w:tr>
      <w:tr>
        <w:tc>
          <w:tcPr>
            <w:tcW w:type="dxa" w:w="2160"/>
          </w:tcPr>
          <w:p>
            <w:r/>
            <w:r>
              <w:rPr>
                <w:rFonts w:ascii="Times New Roman" w:hAnsi="Times New Roman" w:cs="Times New Roman"/>
                <w:b w:val="0"/>
                <w:i w:val="0"/>
                <w:sz w:val="18"/>
                <w:u w:val="none"/>
              </w:rPr>
              <w:t>Ref</w:t>
            </w:r>
          </w:p>
        </w:tc>
        <w:tc>
          <w:tcPr>
            <w:tcW w:type="dxa" w:w="8064"/>
          </w:tcPr>
          <w:p>
            <w:r/>
            <w:r>
              <w:rPr>
                <w:rFonts w:ascii="Times New Roman" w:hAnsi="Times New Roman" w:cs="Times New Roman"/>
                <w:b w:val="0"/>
                <w:i w:val="0"/>
                <w:sz w:val="18"/>
                <w:u w:val="none"/>
              </w:rPr>
              <w:t>P24</w:t>
            </w:r>
          </w:p>
        </w:tc>
      </w:tr>
      <w:tr>
        <w:tc>
          <w:tcPr>
            <w:tcW w:type="dxa" w:w="2160"/>
          </w:tcPr>
          <w:p>
            <w:r/>
            <w:r>
              <w:rPr>
                <w:rFonts w:ascii="Times New Roman" w:hAnsi="Times New Roman" w:cs="Times New Roman"/>
                <w:b w:val="0"/>
                <w:i w:val="0"/>
                <w:sz w:val="18"/>
                <w:u w:val="none"/>
              </w:rPr>
              <w:t>Applies to</w:t>
            </w:r>
          </w:p>
        </w:tc>
        <w:tc>
          <w:tcPr>
            <w:tcW w:type="dxa" w:w="8064"/>
          </w:tcPr>
          <w:p>
            <w:r/>
            <w:r>
              <w:rPr>
                <w:rFonts w:ascii="Times New Roman" w:hAnsi="Times New Roman" w:cs="Times New Roman"/>
                <w:b w:val="0"/>
                <w:i w:val="0"/>
                <w:sz w:val="18"/>
                <w:u w:val="none"/>
              </w:rPr>
              <w:t>MSA, order form</w:t>
            </w:r>
          </w:p>
        </w:tc>
      </w:tr>
      <w:tr>
        <w:tc>
          <w:tcPr>
            <w:tcW w:type="dxa" w:w="2160"/>
          </w:tcPr>
          <w:p>
            <w:r/>
            <w:r>
              <w:rPr>
                <w:rFonts w:ascii="Times New Roman" w:hAnsi="Times New Roman" w:cs="Times New Roman"/>
                <w:b w:val="0"/>
                <w:i w:val="0"/>
                <w:sz w:val="18"/>
                <w:u w:val="none"/>
              </w:rPr>
              <w:t>Standard position</w:t>
            </w:r>
          </w:p>
        </w:tc>
        <w:tc>
          <w:tcPr>
            <w:tcW w:type="dxa" w:w="8064"/>
          </w:tcPr>
          <w:p>
            <w:r/>
            <w:r>
              <w:rPr>
                <w:rFonts w:ascii="Times New Roman" w:hAnsi="Times New Roman" w:cs="Times New Roman"/>
                <w:b w:val="0"/>
                <w:i w:val="0"/>
                <w:sz w:val="18"/>
                <w:u w:val="none"/>
              </w:rPr>
              <w:t>Northwind measures usage monthly. Where usage exceeds the included allowance in the Order Form, the excess is charged at the overage rates in the Order Form. We may increase fees for a renewal term by no more than 7% over the then-current rate, on 60 days' notice. Undisputed invoices may be disputed only if Customer gives written notice of the disputed amount and its basis within 30 days of the invoice date. Customer may audit the usage calculation once per year, on 30 days' notice, for no more than five business days, at Customer's cost, with a look-back limited to the 12 months preceding the audit date.</w:t>
            </w:r>
          </w:p>
        </w:tc>
      </w:tr>
      <w:tr>
        <w:tc>
          <w:tcPr>
            <w:tcW w:type="dxa" w:w="2160"/>
          </w:tcPr>
          <w:p>
            <w:r/>
            <w:r>
              <w:rPr>
                <w:rFonts w:ascii="Times New Roman" w:hAnsi="Times New Roman" w:cs="Times New Roman"/>
                <w:b w:val="0"/>
                <w:i w:val="0"/>
                <w:sz w:val="18"/>
                <w:u w:val="none"/>
              </w:rPr>
              <w:t>Fallback 1</w:t>
            </w:r>
          </w:p>
        </w:tc>
        <w:tc>
          <w:tcPr>
            <w:tcW w:type="dxa" w:w="8064"/>
          </w:tcPr>
          <w:p>
            <w:r/>
            <w:r>
              <w:rPr>
                <w:rFonts w:ascii="Times New Roman" w:hAnsi="Times New Roman" w:cs="Times New Roman"/>
                <w:b w:val="0"/>
                <w:i w:val="0"/>
                <w:sz w:val="18"/>
                <w:u w:val="none"/>
              </w:rPr>
              <w:t>Accept net 45 payment terms and the same audit scope with a look-back of 6 months and a 3-business-day window, keeping the 7% renewal uplift cap and the 30-day dispute window.</w:t>
            </w:r>
          </w:p>
        </w:tc>
      </w:tr>
      <w:tr>
        <w:tc>
          <w:tcPr>
            <w:tcW w:type="dxa" w:w="2160"/>
          </w:tcPr>
          <w:p>
            <w:r/>
            <w:r>
              <w:rPr>
                <w:rFonts w:ascii="Times New Roman" w:hAnsi="Times New Roman" w:cs="Times New Roman"/>
                <w:b w:val="0"/>
                <w:i w:val="0"/>
                <w:sz w:val="18"/>
                <w:u w:val="none"/>
              </w:rPr>
              <w:t>Fallback 2</w:t>
            </w:r>
          </w:p>
        </w:tc>
        <w:tc>
          <w:tcPr>
            <w:tcW w:type="dxa" w:w="8064"/>
          </w:tcPr>
          <w:p>
            <w:r/>
            <w:r>
              <w:rPr>
                <w:rFonts w:ascii="Times New Roman" w:hAnsi="Times New Roman" w:cs="Times New Roman"/>
                <w:b w:val="0"/>
                <w:i w:val="0"/>
                <w:sz w:val="18"/>
                <w:u w:val="none"/>
              </w:rPr>
              <w:t>Accept a 45-day invoice dispute window and a 30-day audit look-back, but only with a duty to pay the undisputed portion of each invoice on the due date.</w:t>
            </w:r>
          </w:p>
        </w:tc>
      </w:tr>
      <w:tr>
        <w:tc>
          <w:tcPr>
            <w:tcW w:type="dxa" w:w="2160"/>
          </w:tcPr>
          <w:p>
            <w:r/>
            <w:r>
              <w:rPr>
                <w:rFonts w:ascii="Times New Roman" w:hAnsi="Times New Roman" w:cs="Times New Roman"/>
                <w:b w:val="0"/>
                <w:i w:val="0"/>
                <w:sz w:val="18"/>
                <w:u w:val="none"/>
              </w:rPr>
              <w:t>Walk-away / red line</w:t>
            </w:r>
          </w:p>
        </w:tc>
        <w:tc>
          <w:tcPr>
            <w:tcW w:type="dxa" w:w="8064"/>
          </w:tcPr>
          <w:p>
            <w:r/>
            <w:r>
              <w:rPr>
                <w:rFonts w:ascii="Times New Roman" w:hAnsi="Times New Roman" w:cs="Times New Roman"/>
                <w:b w:val="0"/>
                <w:i w:val="0"/>
                <w:sz w:val="18"/>
                <w:u w:val="none"/>
              </w:rPr>
              <w:t>A general right to dispute an invoice without time limit, an audit right with a look-back longer than the term of the Order Form, or an audit right that extends to Northwind's books and records generally rather than to the usage calculation.</w:t>
            </w:r>
          </w:p>
        </w:tc>
      </w:tr>
      <w:tr>
        <w:tc>
          <w:tcPr>
            <w:tcW w:type="dxa" w:w="2160"/>
          </w:tcPr>
          <w:p>
            <w:r/>
            <w:r>
              <w:rPr>
                <w:rFonts w:ascii="Times New Roman" w:hAnsi="Times New Roman" w:cs="Times New Roman"/>
                <w:b w:val="0"/>
                <w:i w:val="0"/>
                <w:sz w:val="18"/>
                <w:u w:val="none"/>
              </w:rPr>
              <w:t>Drafting note</w:t>
            </w:r>
          </w:p>
        </w:tc>
        <w:tc>
          <w:tcPr>
            <w:tcW w:type="dxa" w:w="8064"/>
          </w:tcPr>
          <w:p>
            <w:r/>
            <w:r>
              <w:rPr>
                <w:rFonts w:ascii="Times New Roman" w:hAnsi="Times New Roman" w:cs="Times New Roman"/>
                <w:b w:val="0"/>
                <w:i w:val="0"/>
                <w:sz w:val="18"/>
                <w:u w:val="none"/>
              </w:rPr>
              <w:t>The invoice dispute window, the duty to pay the undisputed balance and the 30-day suspension notice operate as a set. A customer's draft that keeps the dispute right but deletes the undisputed-balance obligation makes our suspension right unusable, because any invoice is then disputable. The audit look-back should never exceed the term of the order; a longer look-back lets a customer re-open a closed renewal period.</w:t>
            </w:r>
          </w:p>
        </w:tc>
      </w:tr>
      <w:tr>
        <w:tc>
          <w:tcPr>
            <w:tcW w:type="dxa" w:w="2160"/>
          </w:tcPr>
          <w:p>
            <w:r/>
            <w:r>
              <w:rPr>
                <w:rFonts w:ascii="Times New Roman" w:hAnsi="Times New Roman" w:cs="Times New Roman"/>
                <w:b w:val="0"/>
                <w:i w:val="0"/>
                <w:sz w:val="18"/>
                <w:u w:val="none"/>
              </w:rPr>
              <w:t>Sample wording</w:t>
            </w:r>
          </w:p>
        </w:tc>
        <w:tc>
          <w:tcPr>
            <w:tcW w:type="dxa" w:w="8064"/>
          </w:tcPr>
          <w:p>
            <w:r/>
            <w:r>
              <w:rPr>
                <w:rFonts w:ascii="Times New Roman" w:hAnsi="Times New Roman" w:cs="Times New Roman"/>
                <w:b w:val="0"/>
                <w:i w:val="0"/>
                <w:sz w:val="18"/>
                <w:u w:val="none"/>
              </w:rPr>
              <w:t>Customer shall pay all undisputed invoices within thirty (30) days of the invoice date. Customer may dispute an invoice by giving written notice within thirty (30) days of the invoice date specifying the amount disputed and the basis of the dispute, and shall pay any undisputed portion when due. If usage of the Services in any month exceeds the allowance stated in the Order Form, Customer shall pay the overage at the rates stated in that Order Form, measured by Northwind and reported in the monthly usage statement.</w:t>
            </w:r>
          </w:p>
        </w:tc>
      </w:tr>
    </w:tbl>
    <w:p>
      <w:pPr/>
    </w:p>
    <w:p>
      <w:pPr>
        <w:spacing w:before="120" w:after="60" w:line="276" w:lineRule="auto"/>
      </w:pPr>
      <w:r>
        <w:rPr>
          <w:rFonts w:ascii="Times New Roman" w:hAnsi="Times New Roman" w:cs="Times New Roman"/>
          <w:b/>
          <w:i w:val="0"/>
          <w:sz w:val="21"/>
          <w:u w:val="none"/>
        </w:rPr>
        <w:t>P25. Confidentiality and data protection precedence</w:t>
      </w:r>
    </w:p>
    <w:tbl>
      <w:tblPr>
        <w:tblStyle w:val="TableGrid"/>
        <w:tblW w:type="auto" w:w="0"/>
        <w:tblLook w:firstColumn="1" w:firstRow="1" w:lastColumn="0" w:lastRow="0" w:noHBand="0" w:noVBand="1" w:val="04A0"/>
      </w:tblPr>
      <w:tblGrid>
        <w:gridCol w:w="4680"/>
        <w:gridCol w:w="4680"/>
      </w:tblGrid>
      <w:tr>
        <w:tc>
          <w:tcPr>
            <w:tcW w:type="dxa" w:w="2160"/>
          </w:tcPr>
          <w:p>
            <w:r/>
            <w:r>
              <w:rPr>
                <w:rFonts w:ascii="Times New Roman" w:hAnsi="Times New Roman" w:cs="Times New Roman"/>
                <w:b/>
                <w:i w:val="0"/>
                <w:sz w:val="18"/>
                <w:u w:val="none"/>
              </w:rPr>
              <w:t>Field</w:t>
            </w:r>
          </w:p>
        </w:tc>
        <w:tc>
          <w:tcPr>
            <w:tcW w:type="dxa" w:w="8064"/>
          </w:tcPr>
          <w:p>
            <w:r/>
            <w:r>
              <w:rPr>
                <w:rFonts w:ascii="Times New Roman" w:hAnsi="Times New Roman" w:cs="Times New Roman"/>
                <w:b/>
                <w:i w:val="0"/>
                <w:sz w:val="18"/>
                <w:u w:val="none"/>
              </w:rPr>
              <w:t>Position</w:t>
            </w:r>
          </w:p>
        </w:tc>
      </w:tr>
      <w:tr>
        <w:tc>
          <w:tcPr>
            <w:tcW w:type="dxa" w:w="2160"/>
          </w:tcPr>
          <w:p>
            <w:r/>
            <w:r>
              <w:rPr>
                <w:rFonts w:ascii="Times New Roman" w:hAnsi="Times New Roman" w:cs="Times New Roman"/>
                <w:b w:val="0"/>
                <w:i w:val="0"/>
                <w:sz w:val="18"/>
                <w:u w:val="none"/>
              </w:rPr>
              <w:t>Ref</w:t>
            </w:r>
          </w:p>
        </w:tc>
        <w:tc>
          <w:tcPr>
            <w:tcW w:type="dxa" w:w="8064"/>
          </w:tcPr>
          <w:p>
            <w:r/>
            <w:r>
              <w:rPr>
                <w:rFonts w:ascii="Times New Roman" w:hAnsi="Times New Roman" w:cs="Times New Roman"/>
                <w:b w:val="0"/>
                <w:i w:val="0"/>
                <w:sz w:val="18"/>
                <w:u w:val="none"/>
              </w:rPr>
              <w:t>P25</w:t>
            </w:r>
          </w:p>
        </w:tc>
      </w:tr>
      <w:tr>
        <w:tc>
          <w:tcPr>
            <w:tcW w:type="dxa" w:w="2160"/>
          </w:tcPr>
          <w:p>
            <w:r/>
            <w:r>
              <w:rPr>
                <w:rFonts w:ascii="Times New Roman" w:hAnsi="Times New Roman" w:cs="Times New Roman"/>
                <w:b w:val="0"/>
                <w:i w:val="0"/>
                <w:sz w:val="18"/>
                <w:u w:val="none"/>
              </w:rPr>
              <w:t>Applies to</w:t>
            </w:r>
          </w:p>
        </w:tc>
        <w:tc>
          <w:tcPr>
            <w:tcW w:type="dxa" w:w="8064"/>
          </w:tcPr>
          <w:p>
            <w:r/>
            <w:r>
              <w:rPr>
                <w:rFonts w:ascii="Times New Roman" w:hAnsi="Times New Roman" w:cs="Times New Roman"/>
                <w:b w:val="0"/>
                <w:i w:val="0"/>
                <w:sz w:val="18"/>
                <w:u w:val="none"/>
              </w:rPr>
              <w:t>MSA, DPA</w:t>
            </w:r>
          </w:p>
        </w:tc>
      </w:tr>
      <w:tr>
        <w:tc>
          <w:tcPr>
            <w:tcW w:type="dxa" w:w="2160"/>
          </w:tcPr>
          <w:p>
            <w:r/>
            <w:r>
              <w:rPr>
                <w:rFonts w:ascii="Times New Roman" w:hAnsi="Times New Roman" w:cs="Times New Roman"/>
                <w:b w:val="0"/>
                <w:i w:val="0"/>
                <w:sz w:val="18"/>
                <w:u w:val="none"/>
              </w:rPr>
              <w:t>Standard position</w:t>
            </w:r>
          </w:p>
        </w:tc>
        <w:tc>
          <w:tcPr>
            <w:tcW w:type="dxa" w:w="8064"/>
          </w:tcPr>
          <w:p>
            <w:r/>
            <w:r>
              <w:rPr>
                <w:rFonts w:ascii="Times New Roman" w:hAnsi="Times New Roman" w:cs="Times New Roman"/>
                <w:b w:val="0"/>
                <w:i w:val="0"/>
                <w:sz w:val="18"/>
                <w:u w:val="none"/>
              </w:rPr>
              <w:t>Where the DPA and this Agreement both address the processing of Customer Data, the DPA prevails on that subject matter. All other terms of the MSA continue to apply. A conflict between the MSA and the DPA is not a Customer payment event.</w:t>
            </w:r>
          </w:p>
        </w:tc>
      </w:tr>
      <w:tr>
        <w:tc>
          <w:tcPr>
            <w:tcW w:type="dxa" w:w="2160"/>
          </w:tcPr>
          <w:p>
            <w:r/>
            <w:r>
              <w:rPr>
                <w:rFonts w:ascii="Times New Roman" w:hAnsi="Times New Roman" w:cs="Times New Roman"/>
                <w:b w:val="0"/>
                <w:i w:val="0"/>
                <w:sz w:val="18"/>
                <w:u w:val="none"/>
              </w:rPr>
              <w:t>Fallback 1</w:t>
            </w:r>
          </w:p>
        </w:tc>
        <w:tc>
          <w:tcPr>
            <w:tcW w:type="dxa" w:w="8064"/>
          </w:tcPr>
          <w:p>
            <w:r/>
            <w:r>
              <w:rPr>
                <w:rFonts w:ascii="Times New Roman" w:hAnsi="Times New Roman" w:cs="Times New Roman"/>
                <w:b w:val="0"/>
                <w:i w:val="0"/>
                <w:sz w:val="18"/>
                <w:u w:val="none"/>
              </w:rPr>
              <w:t>Accept MSA precedence on liability and payment, and DPA precedence on data protection terms only.</w:t>
            </w:r>
          </w:p>
        </w:tc>
      </w:tr>
      <w:tr>
        <w:tc>
          <w:tcPr>
            <w:tcW w:type="dxa" w:w="2160"/>
          </w:tcPr>
          <w:p>
            <w:r/>
            <w:r>
              <w:rPr>
                <w:rFonts w:ascii="Times New Roman" w:hAnsi="Times New Roman" w:cs="Times New Roman"/>
                <w:b w:val="0"/>
                <w:i w:val="0"/>
                <w:sz w:val="18"/>
                <w:u w:val="none"/>
              </w:rPr>
              <w:t>Fallback 2</w:t>
            </w:r>
          </w:p>
        </w:tc>
        <w:tc>
          <w:tcPr>
            <w:tcW w:type="dxa" w:w="8064"/>
          </w:tcPr>
          <w:p>
            <w:r/>
            <w:r>
              <w:rPr>
                <w:rFonts w:ascii="Times New Roman" w:hAnsi="Times New Roman" w:cs="Times New Roman"/>
                <w:b w:val="0"/>
                <w:i w:val="0"/>
                <w:sz w:val="18"/>
                <w:u w:val="none"/>
              </w:rPr>
              <w:t>Accept the standard split precedence and add that neither party is in breach where a term is capable of consistent performance under both documents.</w:t>
            </w:r>
          </w:p>
        </w:tc>
      </w:tr>
      <w:tr>
        <w:tc>
          <w:tcPr>
            <w:tcW w:type="dxa" w:w="2160"/>
          </w:tcPr>
          <w:p>
            <w:r/>
            <w:r>
              <w:rPr>
                <w:rFonts w:ascii="Times New Roman" w:hAnsi="Times New Roman" w:cs="Times New Roman"/>
                <w:b w:val="0"/>
                <w:i w:val="0"/>
                <w:sz w:val="18"/>
                <w:u w:val="none"/>
              </w:rPr>
              <w:t>Walk-away / red line</w:t>
            </w:r>
          </w:p>
        </w:tc>
        <w:tc>
          <w:tcPr>
            <w:tcW w:type="dxa" w:w="8064"/>
          </w:tcPr>
          <w:p>
            <w:r/>
            <w:r>
              <w:rPr>
                <w:rFonts w:ascii="Times New Roman" w:hAnsi="Times New Roman" w:cs="Times New Roman"/>
                <w:b w:val="0"/>
                <w:i w:val="0"/>
                <w:sz w:val="18"/>
                <w:u w:val="none"/>
              </w:rPr>
              <w:t>An MSA term that expressly overrides the DPA on processing, security or sub-processors. This defeats the DPA entirely and we will not sign it.</w:t>
            </w:r>
          </w:p>
        </w:tc>
      </w:tr>
      <w:tr>
        <w:tc>
          <w:tcPr>
            <w:tcW w:type="dxa" w:w="2160"/>
          </w:tcPr>
          <w:p>
            <w:r/>
            <w:r>
              <w:rPr>
                <w:rFonts w:ascii="Times New Roman" w:hAnsi="Times New Roman" w:cs="Times New Roman"/>
                <w:b w:val="0"/>
                <w:i w:val="0"/>
                <w:sz w:val="18"/>
                <w:u w:val="none"/>
              </w:rPr>
              <w:t>Drafting note</w:t>
            </w:r>
          </w:p>
        </w:tc>
        <w:tc>
          <w:tcPr>
            <w:tcW w:type="dxa" w:w="8064"/>
          </w:tcPr>
          <w:p>
            <w:r/>
            <w:r>
              <w:rPr>
                <w:rFonts w:ascii="Times New Roman" w:hAnsi="Times New Roman" w:cs="Times New Roman"/>
                <w:b w:val="0"/>
                <w:i w:val="0"/>
                <w:sz w:val="18"/>
                <w:u w:val="none"/>
              </w:rPr>
              <w:t>This position exists because precedence drafting is the most common place a data protection obligation is quietly lost. If the MSA contains a general precedence clause with no carve-out for the DPA, raise it even though it reads as boilerplate.</w:t>
            </w:r>
          </w:p>
        </w:tc>
      </w:tr>
    </w:tbl>
    <w:p>
      <w:pPr/>
    </w:p>
    <w:p>
      <w:pPr>
        <w:spacing w:before="200" w:after="80" w:line="276" w:lineRule="auto"/>
      </w:pPr>
      <w:r>
        <w:rPr>
          <w:rFonts w:ascii="Times New Roman" w:hAnsi="Times New Roman" w:cs="Times New Roman"/>
          <w:b/>
          <w:i w:val="0"/>
          <w:caps/>
          <w:sz w:val="24"/>
          <w:u w:val="none"/>
        </w:rPr>
        <w:t>6. Relationship to the clause library</w:t>
      </w:r>
    </w:p>
    <w:p>
      <w:pPr>
        <w:spacing w:before="0" w:after="120" w:line="276" w:lineRule="auto"/>
      </w:pPr>
      <w:r>
        <w:rPr>
          <w:rFonts w:ascii="Times New Roman" w:hAnsi="Times New Roman" w:cs="Times New Roman"/>
          <w:b w:val="0"/>
          <w:i w:val="0"/>
          <w:u w:val="none"/>
        </w:rPr>
        <w:t>Where we send a redline, use the wording in the approved clause library rather than drafting from scratch. The clause library carries two or three variants per topic and a short note on when each is appropriate. The playbook position and the clause library should be read together: the playbook sets the commercial outcome, the clause library supplies the words.</w:t>
      </w:r>
    </w:p>
    <w:p>
      <w:pPr>
        <w:spacing w:before="0" w:after="120" w:line="276" w:lineRule="auto"/>
      </w:pPr>
      <w:r>
        <w:rPr>
          <w:rFonts w:ascii="Times New Roman" w:hAnsi="Times New Roman" w:cs="Times New Roman"/>
          <w:b w:val="0"/>
          <w:i w:val="0"/>
          <w:u w:val="none"/>
        </w:rPr>
        <w:t>The library covers the topics that come up most often. It is not a complete drafting resource: where a position has no library clause, take the outcome from this playbook and draft from the model forms on file. Where this playbook and the clause library disagree on an outcome, the playbook governs the commercial decision and the clause library governs the drafting. Disagreements should be reported to the Associate General Counsel so that the two documents can be aligned at the next review.</w:t>
      </w:r>
    </w:p>
    <w:p>
      <w:pPr>
        <w:spacing w:before="200" w:after="80" w:line="276" w:lineRule="auto"/>
      </w:pPr>
      <w:r>
        <w:rPr>
          <w:rFonts w:ascii="Times New Roman" w:hAnsi="Times New Roman" w:cs="Times New Roman"/>
          <w:b/>
          <w:i w:val="0"/>
          <w:caps/>
          <w:sz w:val="24"/>
          <w:u w:val="none"/>
        </w:rPr>
        <w:t>7. Escalation contacts</w:t>
      </w:r>
    </w:p>
    <w:tbl>
      <w:tblPr>
        <w:tblStyle w:val="TableGrid"/>
        <w:tblW w:type="auto" w:w="0"/>
        <w:tblLook w:firstColumn="1" w:firstRow="1" w:lastColumn="0" w:lastRow="0" w:noHBand="0" w:noVBand="1" w:val="04A0"/>
      </w:tblPr>
      <w:tblGrid>
        <w:gridCol w:w="3120"/>
        <w:gridCol w:w="3120"/>
        <w:gridCol w:w="3120"/>
      </w:tblGrid>
      <w:tr>
        <w:tc>
          <w:tcPr>
            <w:tcW w:type="dxa" w:w="3456"/>
          </w:tcPr>
          <w:p>
            <w:r/>
            <w:r>
              <w:rPr>
                <w:rFonts w:ascii="Times New Roman" w:hAnsi="Times New Roman" w:cs="Times New Roman"/>
                <w:b/>
                <w:i w:val="0"/>
                <w:sz w:val="18"/>
                <w:u w:val="none"/>
              </w:rPr>
              <w:t>Contact</w:t>
            </w:r>
          </w:p>
        </w:tc>
        <w:tc>
          <w:tcPr>
            <w:tcW w:type="dxa" w:w="3744"/>
          </w:tcPr>
          <w:p>
            <w:r/>
            <w:r>
              <w:rPr>
                <w:rFonts w:ascii="Times New Roman" w:hAnsi="Times New Roman" w:cs="Times New Roman"/>
                <w:b/>
                <w:i w:val="0"/>
                <w:sz w:val="18"/>
                <w:u w:val="none"/>
              </w:rPr>
              <w:t>Address</w:t>
            </w:r>
          </w:p>
        </w:tc>
        <w:tc>
          <w:tcPr>
            <w:tcW w:type="dxa" w:w="3456"/>
          </w:tcPr>
          <w:p>
            <w:r/>
            <w:r>
              <w:rPr>
                <w:rFonts w:ascii="Times New Roman" w:hAnsi="Times New Roman" w:cs="Times New Roman"/>
                <w:b/>
                <w:i w:val="0"/>
                <w:sz w:val="18"/>
                <w:u w:val="none"/>
              </w:rPr>
              <w:t>Use for</w:t>
            </w:r>
          </w:p>
        </w:tc>
      </w:tr>
      <w:tr>
        <w:tc>
          <w:tcPr>
            <w:tcW w:type="dxa" w:w="3456"/>
          </w:tcPr>
          <w:p>
            <w:r/>
            <w:r>
              <w:rPr>
                <w:rFonts w:ascii="Times New Roman" w:hAnsi="Times New Roman" w:cs="Times New Roman"/>
                <w:b w:val="0"/>
                <w:i w:val="0"/>
                <w:sz w:val="18"/>
                <w:u w:val="none"/>
              </w:rPr>
              <w:t>Associate General Counsel, Commercial</w:t>
            </w:r>
          </w:p>
        </w:tc>
        <w:tc>
          <w:tcPr>
            <w:tcW w:type="dxa" w:w="3744"/>
          </w:tcPr>
          <w:p>
            <w:r/>
            <w:r>
              <w:rPr>
                <w:rFonts w:ascii="Times New Roman" w:hAnsi="Times New Roman" w:cs="Times New Roman"/>
                <w:b w:val="0"/>
                <w:i w:val="0"/>
                <w:sz w:val="18"/>
                <w:u w:val="none"/>
              </w:rPr>
              <w:t>commercial.legal@northwindmetrics.example</w:t>
            </w:r>
          </w:p>
        </w:tc>
        <w:tc>
          <w:tcPr>
            <w:tcW w:type="dxa" w:w="3456"/>
          </w:tcPr>
          <w:p>
            <w:r/>
            <w:r>
              <w:rPr>
                <w:rFonts w:ascii="Times New Roman" w:hAnsi="Times New Roman" w:cs="Times New Roman"/>
                <w:b w:val="0"/>
                <w:i w:val="0"/>
                <w:sz w:val="18"/>
                <w:u w:val="none"/>
              </w:rPr>
              <w:t>Redlines, playbook exceptions, escalations</w:t>
            </w:r>
          </w:p>
        </w:tc>
      </w:tr>
      <w:tr>
        <w:tc>
          <w:tcPr>
            <w:tcW w:type="dxa" w:w="3456"/>
          </w:tcPr>
          <w:p>
            <w:r/>
            <w:r>
              <w:rPr>
                <w:rFonts w:ascii="Times New Roman" w:hAnsi="Times New Roman" w:cs="Times New Roman"/>
                <w:b w:val="0"/>
                <w:i w:val="0"/>
                <w:sz w:val="18"/>
                <w:u w:val="none"/>
              </w:rPr>
              <w:t>Deal Desk</w:t>
            </w:r>
          </w:p>
        </w:tc>
        <w:tc>
          <w:tcPr>
            <w:tcW w:type="dxa" w:w="3744"/>
          </w:tcPr>
          <w:p>
            <w:r/>
            <w:r>
              <w:rPr>
                <w:rFonts w:ascii="Times New Roman" w:hAnsi="Times New Roman" w:cs="Times New Roman"/>
                <w:b w:val="0"/>
                <w:i w:val="0"/>
                <w:sz w:val="18"/>
                <w:u w:val="none"/>
              </w:rPr>
              <w:t>dealdesk@northwindmetrics.example</w:t>
            </w:r>
          </w:p>
        </w:tc>
        <w:tc>
          <w:tcPr>
            <w:tcW w:type="dxa" w:w="3456"/>
          </w:tcPr>
          <w:p>
            <w:r/>
            <w:r>
              <w:rPr>
                <w:rFonts w:ascii="Times New Roman" w:hAnsi="Times New Roman" w:cs="Times New Roman"/>
                <w:b w:val="0"/>
                <w:i w:val="0"/>
                <w:sz w:val="18"/>
                <w:u w:val="none"/>
              </w:rPr>
              <w:t>Order forms, pricing schedules, true-up mechanics</w:t>
            </w:r>
          </w:p>
        </w:tc>
      </w:tr>
      <w:tr>
        <w:tc>
          <w:tcPr>
            <w:tcW w:type="dxa" w:w="3456"/>
          </w:tcPr>
          <w:p>
            <w:r/>
            <w:r>
              <w:rPr>
                <w:rFonts w:ascii="Times New Roman" w:hAnsi="Times New Roman" w:cs="Times New Roman"/>
                <w:b w:val="0"/>
                <w:i w:val="0"/>
                <w:sz w:val="18"/>
                <w:u w:val="none"/>
              </w:rPr>
              <w:t>Head of Information Security</w:t>
            </w:r>
          </w:p>
        </w:tc>
        <w:tc>
          <w:tcPr>
            <w:tcW w:type="dxa" w:w="3744"/>
          </w:tcPr>
          <w:p>
            <w:r/>
            <w:r>
              <w:rPr>
                <w:rFonts w:ascii="Times New Roman" w:hAnsi="Times New Roman" w:cs="Times New Roman"/>
                <w:b w:val="0"/>
                <w:i w:val="0"/>
                <w:sz w:val="18"/>
                <w:u w:val="none"/>
              </w:rPr>
              <w:t>security@northwindmetrics.example</w:t>
            </w:r>
          </w:p>
        </w:tc>
        <w:tc>
          <w:tcPr>
            <w:tcW w:type="dxa" w:w="3456"/>
          </w:tcPr>
          <w:p>
            <w:r/>
            <w:r>
              <w:rPr>
                <w:rFonts w:ascii="Times New Roman" w:hAnsi="Times New Roman" w:cs="Times New Roman"/>
                <w:b w:val="0"/>
                <w:i w:val="0"/>
                <w:sz w:val="18"/>
                <w:u w:val="none"/>
              </w:rPr>
              <w:t>Security schedules, audit rights, sub-processor questions</w:t>
            </w:r>
          </w:p>
        </w:tc>
      </w:tr>
      <w:tr>
        <w:tc>
          <w:tcPr>
            <w:tcW w:type="dxa" w:w="3456"/>
          </w:tcPr>
          <w:p>
            <w:r/>
            <w:r>
              <w:rPr>
                <w:rFonts w:ascii="Times New Roman" w:hAnsi="Times New Roman" w:cs="Times New Roman"/>
                <w:b w:val="0"/>
                <w:i w:val="0"/>
                <w:sz w:val="18"/>
                <w:u w:val="none"/>
              </w:rPr>
              <w:t>Privacy Lead (DPO office)</w:t>
            </w:r>
          </w:p>
        </w:tc>
        <w:tc>
          <w:tcPr>
            <w:tcW w:type="dxa" w:w="3744"/>
          </w:tcPr>
          <w:p>
            <w:r/>
            <w:r>
              <w:rPr>
                <w:rFonts w:ascii="Times New Roman" w:hAnsi="Times New Roman" w:cs="Times New Roman"/>
                <w:b w:val="0"/>
                <w:i w:val="0"/>
                <w:sz w:val="18"/>
                <w:u w:val="none"/>
              </w:rPr>
              <w:t>privacy@northwindmetrics.example</w:t>
            </w:r>
          </w:p>
        </w:tc>
        <w:tc>
          <w:tcPr>
            <w:tcW w:type="dxa" w:w="3456"/>
          </w:tcPr>
          <w:p>
            <w:r/>
            <w:r>
              <w:rPr>
                <w:rFonts w:ascii="Times New Roman" w:hAnsi="Times New Roman" w:cs="Times New Roman"/>
                <w:b w:val="0"/>
                <w:i w:val="0"/>
                <w:sz w:val="18"/>
                <w:u w:val="none"/>
              </w:rPr>
              <w:t>DPAs, standard contractual clauses, transfer impact assessments</w:t>
            </w:r>
          </w:p>
        </w:tc>
      </w:tr>
      <w:tr>
        <w:tc>
          <w:tcPr>
            <w:tcW w:type="dxa" w:w="3456"/>
          </w:tcPr>
          <w:p>
            <w:r/>
            <w:r>
              <w:rPr>
                <w:rFonts w:ascii="Times New Roman" w:hAnsi="Times New Roman" w:cs="Times New Roman"/>
                <w:b w:val="0"/>
                <w:i w:val="0"/>
                <w:sz w:val="18"/>
                <w:u w:val="none"/>
              </w:rPr>
              <w:t>Revenue Operations</w:t>
            </w:r>
          </w:p>
        </w:tc>
        <w:tc>
          <w:tcPr>
            <w:tcW w:type="dxa" w:w="3744"/>
          </w:tcPr>
          <w:p>
            <w:r/>
            <w:r>
              <w:rPr>
                <w:rFonts w:ascii="Times New Roman" w:hAnsi="Times New Roman" w:cs="Times New Roman"/>
                <w:b w:val="0"/>
                <w:i w:val="0"/>
                <w:sz w:val="18"/>
                <w:u w:val="none"/>
              </w:rPr>
              <w:t>revops@northwindmetrics.example</w:t>
            </w:r>
          </w:p>
        </w:tc>
        <w:tc>
          <w:tcPr>
            <w:tcW w:type="dxa" w:w="3456"/>
          </w:tcPr>
          <w:p>
            <w:r/>
            <w:r>
              <w:rPr>
                <w:rFonts w:ascii="Times New Roman" w:hAnsi="Times New Roman" w:cs="Times New Roman"/>
                <w:b w:val="0"/>
                <w:i w:val="0"/>
                <w:sz w:val="18"/>
                <w:u w:val="none"/>
              </w:rPr>
              <w:t>Renewal notices, price increase notices, usage true-ups</w:t>
            </w:r>
          </w:p>
        </w:tc>
      </w:tr>
    </w:tbl>
    <w:p>
      <w:pPr/>
    </w:p>
    <w:p>
      <w:pPr>
        <w:spacing w:before="200" w:after="80" w:line="276" w:lineRule="auto"/>
      </w:pPr>
      <w:r>
        <w:rPr>
          <w:rFonts w:ascii="Times New Roman" w:hAnsi="Times New Roman" w:cs="Times New Roman"/>
          <w:b/>
          <w:i w:val="0"/>
          <w:caps/>
          <w:sz w:val="24"/>
          <w:u w:val="none"/>
        </w:rPr>
        <w:t>8. Version history</w:t>
      </w:r>
    </w:p>
    <w:tbl>
      <w:tblPr>
        <w:tblStyle w:val="TableGrid"/>
        <w:tblW w:type="auto" w:w="0"/>
        <w:tblLook w:firstColumn="1" w:firstRow="1" w:lastColumn="0" w:lastRow="0" w:noHBand="0" w:noVBand="1" w:val="04A0"/>
      </w:tblPr>
      <w:tblGrid>
        <w:gridCol w:w="2340"/>
        <w:gridCol w:w="2340"/>
        <w:gridCol w:w="2340"/>
        <w:gridCol w:w="2340"/>
      </w:tblGrid>
      <w:tr>
        <w:tc>
          <w:tcPr>
            <w:tcW w:type="dxa" w:w="1296"/>
          </w:tcPr>
          <w:p>
            <w:r/>
            <w:r>
              <w:rPr>
                <w:rFonts w:ascii="Times New Roman" w:hAnsi="Times New Roman" w:cs="Times New Roman"/>
                <w:b/>
                <w:i w:val="0"/>
                <w:sz w:val="18"/>
                <w:u w:val="none"/>
              </w:rPr>
              <w:t>Version</w:t>
            </w:r>
          </w:p>
        </w:tc>
        <w:tc>
          <w:tcPr>
            <w:tcW w:type="dxa" w:w="1728"/>
          </w:tcPr>
          <w:p>
            <w:r/>
            <w:r>
              <w:rPr>
                <w:rFonts w:ascii="Times New Roman" w:hAnsi="Times New Roman" w:cs="Times New Roman"/>
                <w:b/>
                <w:i w:val="0"/>
                <w:sz w:val="18"/>
                <w:u w:val="none"/>
              </w:rPr>
              <w:t>Date</w:t>
            </w:r>
          </w:p>
        </w:tc>
        <w:tc>
          <w:tcPr>
            <w:tcW w:type="dxa" w:w="2304"/>
          </w:tcPr>
          <w:p>
            <w:r/>
            <w:r>
              <w:rPr>
                <w:rFonts w:ascii="Times New Roman" w:hAnsi="Times New Roman" w:cs="Times New Roman"/>
                <w:b/>
                <w:i w:val="0"/>
                <w:sz w:val="18"/>
                <w:u w:val="none"/>
              </w:rPr>
              <w:t>Owner</w:t>
            </w:r>
          </w:p>
        </w:tc>
        <w:tc>
          <w:tcPr>
            <w:tcW w:type="dxa" w:w="5184"/>
          </w:tcPr>
          <w:p>
            <w:r/>
            <w:r>
              <w:rPr>
                <w:rFonts w:ascii="Times New Roman" w:hAnsi="Times New Roman" w:cs="Times New Roman"/>
                <w:b/>
                <w:i w:val="0"/>
                <w:sz w:val="18"/>
                <w:u w:val="none"/>
              </w:rPr>
              <w:t>Change</w:t>
            </w:r>
          </w:p>
        </w:tc>
      </w:tr>
      <w:tr>
        <w:tc>
          <w:tcPr>
            <w:tcW w:type="dxa" w:w="1296"/>
          </w:tcPr>
          <w:p>
            <w:r/>
            <w:r>
              <w:rPr>
                <w:rFonts w:ascii="Times New Roman" w:hAnsi="Times New Roman" w:cs="Times New Roman"/>
                <w:b w:val="0"/>
                <w:i w:val="0"/>
                <w:sz w:val="18"/>
                <w:u w:val="none"/>
              </w:rPr>
              <w:t>6.2</w:t>
            </w:r>
          </w:p>
        </w:tc>
        <w:tc>
          <w:tcPr>
            <w:tcW w:type="dxa" w:w="1728"/>
          </w:tcPr>
          <w:p>
            <w:r/>
            <w:r>
              <w:rPr>
                <w:rFonts w:ascii="Times New Roman" w:hAnsi="Times New Roman" w:cs="Times New Roman"/>
                <w:b w:val="0"/>
                <w:i w:val="0"/>
                <w:sz w:val="18"/>
                <w:u w:val="none"/>
              </w:rPr>
              <w:t>1 Aug 2026</w:t>
            </w:r>
          </w:p>
        </w:tc>
        <w:tc>
          <w:tcPr>
            <w:tcW w:type="dxa" w:w="2304"/>
          </w:tcPr>
          <w:p>
            <w:r/>
            <w:r>
              <w:rPr>
                <w:rFonts w:ascii="Times New Roman" w:hAnsi="Times New Roman" w:cs="Times New Roman"/>
                <w:b w:val="0"/>
                <w:i w:val="0"/>
                <w:sz w:val="18"/>
                <w:u w:val="none"/>
              </w:rPr>
              <w:t>Associate GC</w:t>
            </w:r>
          </w:p>
        </w:tc>
        <w:tc>
          <w:tcPr>
            <w:tcW w:type="dxa" w:w="5184"/>
          </w:tcPr>
          <w:p>
            <w:r/>
            <w:r>
              <w:rPr>
                <w:rFonts w:ascii="Times New Roman" w:hAnsi="Times New Roman" w:cs="Times New Roman"/>
                <w:b w:val="0"/>
                <w:i w:val="0"/>
                <w:sz w:val="18"/>
                <w:u w:val="none"/>
              </w:rPr>
              <w:t>Rewrote the audit and sub-processor positions after the Ferranti Materials review; added true-up carve-out for disputed invoices.</w:t>
            </w:r>
          </w:p>
        </w:tc>
      </w:tr>
      <w:tr>
        <w:tc>
          <w:tcPr>
            <w:tcW w:type="dxa" w:w="1296"/>
          </w:tcPr>
          <w:p>
            <w:r/>
            <w:r>
              <w:rPr>
                <w:rFonts w:ascii="Times New Roman" w:hAnsi="Times New Roman" w:cs="Times New Roman"/>
                <w:b w:val="0"/>
                <w:i w:val="0"/>
                <w:sz w:val="18"/>
                <w:u w:val="none"/>
              </w:rPr>
              <w:t>6.1</w:t>
            </w:r>
          </w:p>
        </w:tc>
        <w:tc>
          <w:tcPr>
            <w:tcW w:type="dxa" w:w="1728"/>
          </w:tcPr>
          <w:p>
            <w:r/>
            <w:r>
              <w:rPr>
                <w:rFonts w:ascii="Times New Roman" w:hAnsi="Times New Roman" w:cs="Times New Roman"/>
                <w:b w:val="0"/>
                <w:i w:val="0"/>
                <w:sz w:val="18"/>
                <w:u w:val="none"/>
              </w:rPr>
              <w:t>14 Mar 2026</w:t>
            </w:r>
          </w:p>
        </w:tc>
        <w:tc>
          <w:tcPr>
            <w:tcW w:type="dxa" w:w="2304"/>
          </w:tcPr>
          <w:p>
            <w:r/>
            <w:r>
              <w:rPr>
                <w:rFonts w:ascii="Times New Roman" w:hAnsi="Times New Roman" w:cs="Times New Roman"/>
                <w:b w:val="0"/>
                <w:i w:val="0"/>
                <w:sz w:val="18"/>
                <w:u w:val="none"/>
              </w:rPr>
              <w:t>Associate GC</w:t>
            </w:r>
          </w:p>
        </w:tc>
        <w:tc>
          <w:tcPr>
            <w:tcW w:type="dxa" w:w="5184"/>
          </w:tcPr>
          <w:p>
            <w:r/>
            <w:r>
              <w:rPr>
                <w:rFonts w:ascii="Times New Roman" w:hAnsi="Times New Roman" w:cs="Times New Roman"/>
                <w:b w:val="0"/>
                <w:i w:val="0"/>
                <w:sz w:val="18"/>
                <w:u w:val="none"/>
              </w:rPr>
              <w:t>Raised the liability cap floor to 12 months fees; added the India/Singapore data residency note.</w:t>
            </w:r>
          </w:p>
        </w:tc>
      </w:tr>
      <w:tr>
        <w:tc>
          <w:tcPr>
            <w:tcW w:type="dxa" w:w="1296"/>
          </w:tcPr>
          <w:p>
            <w:r/>
            <w:r>
              <w:rPr>
                <w:rFonts w:ascii="Times New Roman" w:hAnsi="Times New Roman" w:cs="Times New Roman"/>
                <w:b w:val="0"/>
                <w:i w:val="0"/>
                <w:sz w:val="18"/>
                <w:u w:val="none"/>
              </w:rPr>
              <w:t>6.0</w:t>
            </w:r>
          </w:p>
        </w:tc>
        <w:tc>
          <w:tcPr>
            <w:tcW w:type="dxa" w:w="1728"/>
          </w:tcPr>
          <w:p>
            <w:r/>
            <w:r>
              <w:rPr>
                <w:rFonts w:ascii="Times New Roman" w:hAnsi="Times New Roman" w:cs="Times New Roman"/>
                <w:b w:val="0"/>
                <w:i w:val="0"/>
                <w:sz w:val="18"/>
                <w:u w:val="none"/>
              </w:rPr>
              <w:t>9 Sep 2025</w:t>
            </w:r>
          </w:p>
        </w:tc>
        <w:tc>
          <w:tcPr>
            <w:tcW w:type="dxa" w:w="2304"/>
          </w:tcPr>
          <w:p>
            <w:r/>
            <w:r>
              <w:rPr>
                <w:rFonts w:ascii="Times New Roman" w:hAnsi="Times New Roman" w:cs="Times New Roman"/>
                <w:b w:val="0"/>
                <w:i w:val="0"/>
                <w:sz w:val="18"/>
                <w:u w:val="none"/>
              </w:rPr>
              <w:t>General Counsel</w:t>
            </w:r>
          </w:p>
        </w:tc>
        <w:tc>
          <w:tcPr>
            <w:tcW w:type="dxa" w:w="5184"/>
          </w:tcPr>
          <w:p>
            <w:r/>
            <w:r>
              <w:rPr>
                <w:rFonts w:ascii="Times New Roman" w:hAnsi="Times New Roman" w:cs="Times New Roman"/>
                <w:b w:val="0"/>
                <w:i w:val="0"/>
                <w:sz w:val="18"/>
                <w:u w:val="none"/>
              </w:rPr>
              <w:t>Annual rewrite; separated customer and supplier indemnity into two positions.</w:t>
            </w:r>
          </w:p>
        </w:tc>
      </w:tr>
    </w:tbl>
    <w:p>
      <w:pP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Times New Roman" w:hAnsi="Times New Roman" w:cs="Times New Roman"/>
        <w:b w:val="0"/>
        <w:i w:val="0"/>
        <w:caps/>
        <w:sz w:val="17"/>
        <w:u w:val="none"/>
      </w:rPr>
      <w:t>Northwind Metrics – Internal – Confidential – Negotiation Playbook v6.2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Northwind Metrics, Inc. – Contract Negotiation Playbook</dc:title>
  <dc:subject/>
  <dc:creator/>
  <cp:keywords/>
  <dc:description/>
  <cp:lastModifiedBy/>
  <cp:revision>1</cp:revision>
  <dcterms:created xsi:type="dcterms:W3CDTF">2026-08-01T09:00:00Z</dcterms:created>
  <dcterms:modified xsi:type="dcterms:W3CDTF">2026-08-01T09:00:00Z</dcterms:modified>
  <cp:category/>
</cp:coreProperties>
</file>