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Master Services Agreement - Vandelay</w:t>
      </w:r>
    </w:p>
    <w:p>
      <w:pPr>
        <w:pStyle w:val="Heading1"/>
      </w:pPr>
      <w:r>
        <w:t xml:space="preserve">Services</w:t>
      </w:r>
    </w:p>
    <w:p>
      <w:r>
        <w:t xml:space="preserve">Supplier will provide the analytics services described in each Statement of Work.</w:t>
      </w:r>
    </w:p>
    <w:p>
      <w:r>
        <w:t xml:space="preserve">Each Statement of Work is incorporated into this Agreement by reference.</w:t>
      </w:r>
    </w:p>
    <w:p>
      <w:pPr>
        <w:pStyle w:val="Heading1"/>
      </w:pPr>
      <w:r>
        <w:t xml:space="preserve">Fees and Payment</w:t>
      </w:r>
    </w:p>
    <w:p>
      <w:r>
        <w:t xml:space="preserve">Fees are stated in each Statement of Work and invoiced monthly in arrears.</w:t>
      </w:r>
    </w:p>
    <w:p>
      <w:r>
        <w:t xml:space="preserve">Undisputed invoices are payable within thirty days of receipt.</w:t>
      </w:r>
    </w:p>
    <w:p>
      <w:pPr>
        <w:pStyle w:val="Heading1"/>
      </w:pPr>
      <w:r>
        <w:t xml:space="preserve">Limitation of Liability</w:t>
      </w:r>
    </w:p>
    <w:p>
      <w:r>
        <w:t xml:space="preserve">Supplier total aggregate liability arising out of or related to this Agreement shall not exceed 3 times the fees paid in the preceding 12 months.</w:t>
      </w:r>
    </w:p>
    <w:p>
      <w:r>
        <w:t xml:space="preserve">A party shall not be liable for indirect or consequential loss.</w:t>
      </w:r>
    </w:p>
    <w:p>
      <w:r>
        <w:t xml:space="preserve">This limitation applies to all obligations under this Agreement, including indemnification obligations.</w:t>
      </w:r>
    </w:p>
    <w:p>
      <w:pPr>
        <w:pStyle w:val="Heading1"/>
      </w:pPr>
      <w:r>
        <w:t xml:space="preserve">Indemnification</w:t>
      </w:r>
    </w:p>
    <w:p>
      <w:r>
        <w:t xml:space="preserve">Supplier shall defend Customer against third-party claims without regard to any limitation of liability in this Agreement.</w:t>
      </w:r>
    </w:p>
    <w:p>
      <w:pPr>
        <w:pStyle w:val="Heading1"/>
      </w:pPr>
      <w:r>
        <w:t xml:space="preserve">Confidentiality</w:t>
      </w:r>
    </w:p>
    <w:p>
      <w:r>
        <w:t xml:space="preserve">Each party will protect the other party confidential information with at least reasonable care and use it only to perform this Agreement.</w:t>
      </w:r>
    </w:p>
    <w:p>
      <w:pPr>
        <w:pStyle w:val="Heading1"/>
      </w:pPr>
      <w:r>
        <w:t xml:space="preserve">Termination</w:t>
      </w:r>
    </w:p>
    <w:p>
      <w:r>
        <w:t xml:space="preserve">Either party may terminate for material breach that remains uncured thirty days after written notice.</w:t>
      </w:r>
    </w:p>
    <w:p>
      <w:r>
        <w:t xml:space="preserve">On termination each party returns or destroys the other party Confidential Information.</w:t>
      </w:r>
    </w:p>
    <w:p>
      <w:pPr>
        <w:pStyle w:val="Heading1"/>
      </w:pPr>
      <w:r>
        <w:t xml:space="preserve">Governing Law</w:t>
      </w:r>
    </w:p>
    <w:p>
      <w:r>
        <w:t xml:space="preserve">This Agreement is governed by the laws of the State of Delaware.</w:t>
      </w:r>
    </w:p>
    <w:p>
      <w:pPr>
        <w:pStyle w:val="Heading1"/>
      </w:pPr>
      <w:r>
        <w:t xml:space="preserve">Notice</w:t>
      </w:r>
    </w:p>
    <w:p>
      <w:r>
        <w:t xml:space="preserve">This is a fictional demonstration document. It is not a real agreement and creates no obligation.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