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Master Services Agreement</w:t>
      </w:r>
    </w:p>
    <w:p>
      <w:pPr>
        <w:pStyle w:val="Heading1"/>
      </w:pPr>
      <w:r>
        <w:t xml:space="preserve">1. Services</w:t>
      </w:r>
    </w:p>
    <w:p>
      <w:pPr>
        <w:pStyle w:val="Normal"/>
      </w:pPr>
      <w:r>
        <w:t xml:space="preserve">The following payment schedule applies to every milestone.</w:t>
      </w:r>
    </w:p>
    <w:p>
      <w:pPr>
        <w:numPr>
          <w:ilvl w:val="0"/>
          <w:numId w:val="1"/>
        </w:numPr>
      </w:pPr>
      <w:r>
        <w:t xml:space="preserve">Kickoff payment due on signature.</w:t>
      </w:r>
    </w:p>
    <w:p>
      <w:pPr>
        <w:numPr>
          <w:ilvl w:val="0"/>
          <w:numId w:val="1"/>
        </w:numPr>
      </w:pPr>
      <w:r>
        <w:t xml:space="preserve">Milestone payment on acceptance.</w:t>
      </w:r>
    </w:p>
    <w:p>
      <w:pPr>
        <w:pStyle w:val="Heading1"/>
      </w:pPr>
      <w:r>
        <w:t xml:space="preserve">2. Limitation of Liability</w:t>
      </w:r>
    </w:p>
    <w:p>
      <w:r>
        <w:t xml:space="preserve">Supplier liability shall be unlimited.</w:t>
      </w:r>
    </w:p>
    <w:p>
      <w:pPr>
        <w:pStyle w:val="Heading1"/>
      </w:pPr>
      <w:r>
        <w:t xml:space="preserve">3. Governing Law</w:t>
      </w:r>
    </w:p>
    <w:p>
      <w:r>
        <w:t xml:space="preserve">This Agreement is governed by the laws of Delaware.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Relationship Id="rIdNum" Type="http://schemas.openxmlformats.org/officeDocument/2006/relationships/numbering" Target="numbering.xml"/>
</Relationships>
</file>