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Normal"/>
      </w:pPr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pPr>
        <w:pStyle w:val="Normal"/>
      </w:pPr>
      <w:r>
        <w:t xml:space="preserve">Supplier's aggregate liability shall not exceed two times the fees paid in the preceding 12 months.</w:t>
      </w:r>
    </w:p>
    <w:p>
      <w:pPr>
        <w:pStyle w:val="Heading1"/>
      </w:pPr>
      <w:r>
        <w:t xml:space="preserve">2. Confidentiality</w:t>
      </w:r>
    </w:p>
    <w:p>
      <w:pPr>
        <w:pStyle w:val="Normal"/>
      </w:pPr>
      <w:r>
        <w:t xml:space="preserve">2.1 Each Party shall protect the other Party's confidential information with reasonable care.</w:t>
      </w:r>
    </w:p>
    <w:p>
      <w:pPr>
        <w:pStyle w:val="Heading1"/>
      </w:pPr>
      <w:r>
        <w:t xml:space="preserve">3. Term and Survival</w:t>
      </w:r>
    </w:p>
    <w:p>
      <w:pPr>
        <w:pStyle w:val="Normal"/>
      </w:pPr>
      <w:r>
        <w:t xml:space="preserve">3.1 This Agreement starts on the Effective Date and continues for one year.</w:t>
      </w:r>
    </w:p>
    <w:p>
      <w:pPr>
        <w:pStyle w:val="Normal"/>
      </w:pPr>
      <w:r>
        <w:t xml:space="preserve">3.2 The obligations of confidentiality survive termination of this Agreement for five (5) years.</w:t>
      </w:r>
    </w:p>
    <w:p>
      <w:pPr>
        <w:pStyle w:val="Heading1"/>
      </w:pPr>
      <w:r>
        <w:t xml:space="preserve">4. Governing Law</w:t>
      </w:r>
    </w:p>
    <w:p>
      <w:pPr>
        <w:pStyle w:val="Normal"/>
      </w:pPr>
      <w:r>
        <w:t xml:space="preserve">4.1 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