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Clause Library (Demonstration)</w:t>
      </w:r>
    </w:p>
    <w:p>
      <w:pPr>
        <w:pStyle w:val="Heading1"/>
      </w:pPr>
      <w:r>
        <w:t xml:space="preserve">Limitation of Liability - Preferred</w:t>
      </w:r>
    </w:p>
    <w:p>
      <w:r>
        <w:t xml:space="preserve">Total aggregate liability shall not exceed the fees paid in the preceding 12 months.</w:t>
      </w:r>
    </w:p>
    <w:p>
      <w:pPr>
        <w:pStyle w:val="Heading1"/>
      </w:pPr>
      <w:r>
        <w:t xml:space="preserve">Limitation of Liability - Fallback</w:t>
      </w:r>
    </w:p>
    <w:p>
      <w:r>
        <w:t xml:space="preserve">Total aggregate liability shall not exceed two times the fees paid in the preceding 12 months.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