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val="0"/>
          <w:color w:val="595959"/>
          <w:sz w:val="18"/>
        </w:rPr>
        <w:t>STATEMENT OF WORK NO. 1</w:t>
      </w:r>
    </w:p>
    <w:p>
      <w:pPr>
        <w:spacing w:after="120"/>
        <w:jc w:val="center"/>
      </w:pPr>
      <w:r>
        <w:rPr>
          <w:b/>
          <w:color w:val="1F3864"/>
          <w:sz w:val="40"/>
        </w:rPr>
        <w:t>CLAIMS TRIAGE IMPLEMENTATION</w:t>
      </w:r>
    </w:p>
    <w:p>
      <w:pPr>
        <w:spacing w:after="40"/>
        <w:jc w:val="center"/>
      </w:pPr>
      <w:r>
        <w:rPr>
          <w:b w:val="0"/>
          <w:sz w:val="22"/>
        </w:rPr>
        <w:t>under the Master Services Agreement dated 12 January 2026</w:t>
      </w:r>
    </w:p>
    <w:p>
      <w:pPr>
        <w:spacing w:after="40"/>
        <w:jc w:val="center"/>
      </w:pPr>
      <w:r>
        <w:rPr>
          <w:b w:val="0"/>
          <w:sz w:val="22"/>
        </w:rPr>
        <w:t>and Order Form No. KAG-2026-014 dated 20 February 2026</w:t>
      </w:r>
    </w:p>
    <w:p>
      <w:pPr>
        <w:spacing w:after="200"/>
      </w:pPr>
    </w:p>
    <w:p>
      <w:r>
        <w:rPr>
          <w:b w:val="0"/>
          <w:i w:val="0"/>
        </w:rPr>
        <w:t xml:space="preserve">This Statement of Work No. 1 is made between </w:t>
      </w:r>
      <w:sdt>
        <w:sdtPr>
          <w:alias w:val="Customer legal name"/>
          <w:tag w:val="customer_legal_name"/>
          <w:showingPlcHdr w:val="0"/>
        </w:sdtPr>
        <w:sdtContent>
          <w:r>
            <w:t xml:space="preserve">Kestrel Assurance Group plc</w:t>
          </w:r>
        </w:sdtContent>
      </w:sdt>
      <w:r>
        <w:rPr>
          <w:b w:val="0"/>
          <w:i w:val="0"/>
        </w:rPr>
        <w:t>, a public limited company incorporated in England and Wales with company number 04418296, whose registered office is at 1 Waterhouse Quay, Leeds LS1 4BR (the “</w:t>
      </w:r>
      <w:r>
        <w:rPr>
          <w:b/>
          <w:i w:val="0"/>
        </w:rPr>
        <w:t>Customer</w:t>
      </w:r>
      <w:r>
        <w:rPr>
          <w:b w:val="0"/>
          <w:i w:val="0"/>
        </w:rPr>
        <w:t xml:space="preserve">”), and </w:t>
      </w:r>
      <w:sdt>
        <w:sdtPr>
          <w:alias w:val="Supplier legal name"/>
          <w:tag w:val="supplier_legal_name"/>
          <w:showingPlcHdr w:val="0"/>
        </w:sdtPr>
        <w:sdtContent>
          <w:r>
            <w:t xml:space="preserve">Bramber Software Limited</w:t>
          </w:r>
        </w:sdtContent>
      </w:sdt>
      <w:r>
        <w:rPr>
          <w:b w:val="0"/>
          <w:i w:val="0"/>
        </w:rPr>
        <w:t>, a private limited company incorporated in England and Wales with company number 08841267, whose registered office is at The Glass Works, 12 Feeder Road, Bristol BS2 0SB (the “</w:t>
      </w:r>
      <w:r>
        <w:rPr>
          <w:b/>
          <w:i w:val="0"/>
        </w:rPr>
        <w:t>Supplier</w:t>
      </w:r>
      <w:r>
        <w:rPr>
          <w:b w:val="0"/>
          <w:i w:val="0"/>
        </w:rPr>
        <w:t>”).</w:t>
      </w:r>
    </w:p>
    <w:p>
      <w:r>
        <w:rPr>
          <w:b w:val="0"/>
          <w:i w:val="0"/>
        </w:rPr>
        <w:t xml:space="preserve">This SOW is effective on </w:t>
      </w:r>
      <w:sdt>
        <w:sdtPr>
          <w:alias w:val="Effective Date"/>
          <w:tag w:val="effective_date"/>
          <w:showingPlcHdr w:val="0"/>
        </w:sdtPr>
        <w:sdtContent>
          <w:r>
            <w:t xml:space="preserve">1 April 2026</w:t>
          </w:r>
        </w:sdtContent>
      </w:sdt>
      <w:r>
        <w:rPr>
          <w:b w:val="0"/>
          <w:i w:val="0"/>
        </w:rPr>
        <w:t xml:space="preserve"> and is governed by the Master Services Agreement dated 12 January 2026 (the “</w:t>
      </w:r>
      <w:r>
        <w:rPr>
          <w:b/>
          <w:i w:val="0"/>
        </w:rPr>
        <w:t>MSA</w:t>
      </w:r>
      <w:r>
        <w:rPr>
          <w:b w:val="0"/>
          <w:i w:val="0"/>
        </w:rPr>
        <w:t>”). Capitalised terms used but not defined in this SOW have the meanings given in the MSA.</w:t>
      </w:r>
    </w:p>
    <w:p>
      <w:pPr>
        <w:spacing w:before="120" w:after="120"/>
      </w:pPr>
      <w:r>
        <w:pict>
          <v:rect id="KeyTermsBox" o:spid="_x0000_s1026" style="width:15.6cm;height:4.8cm;visibility:visible" strokecolor="#1F3864" strokeweight="1pt" fillcolor="#EEF2F8">
            <v:textbox inset="10pt,8pt,10pt,8pt">
              <w:txbxContent>
                <w:p>
                  <w:pPr>
                    <w:spacing w:after="80"/>
                  </w:pPr>
                  <w:r>
                    <w:rPr>
                      <w:b/>
                      <w:color w:val="1F3864"/>
                      <w:sz w:val="19"/>
                      <w:rFonts w:ascii="Times New Roman" w:hAnsi="Times New Roman"/>
                    </w:rPr>
                    <w:t>Key Commercial Terms</w:t>
                  </w:r>
                </w:p>
                <w:p>
                  <w:pPr>
                    <w:spacing w:after="40"/>
                    <w:ind w:left="220" w:hanging="160"/>
                  </w:pPr>
                  <w:r>
                    <w:rPr>
                      <w:sz w:val="19"/>
                      <w:rFonts w:ascii="Times New Roman" w:hAnsi="Times New Roman"/>
                    </w:rPr>
                    <w:t xml:space="preserve">• Customer: Kestrel Assurance Group plc</w:t>
                  </w:r>
                </w:p>
                <w:p>
                  <w:pPr>
                    <w:spacing w:after="40"/>
                    <w:ind w:left="220" w:hanging="160"/>
                  </w:pPr>
                  <w:r>
                    <w:rPr>
                      <w:sz w:val="19"/>
                      <w:rFonts w:ascii="Times New Roman" w:hAnsi="Times New Roman"/>
                    </w:rPr>
                    <w:t xml:space="preserve">• Supplier: Bramber Software Limited</w:t>
                  </w:r>
                </w:p>
                <w:p>
                  <w:pPr>
                    <w:spacing w:after="40"/>
                    <w:ind w:left="220" w:hanging="160"/>
                  </w:pPr>
                  <w:r>
                    <w:rPr>
                      <w:sz w:val="19"/>
                      <w:rFonts w:ascii="Times New Roman" w:hAnsi="Times New Roman"/>
                    </w:rPr>
                    <w:t xml:space="preserve">• Effective Date: 1 April 2026</w:t>
                  </w:r>
                </w:p>
                <w:p>
                  <w:pPr>
                    <w:spacing w:after="40"/>
                    <w:ind w:left="220" w:hanging="160"/>
                  </w:pPr>
                  <w:r>
                    <w:rPr>
                      <w:sz w:val="19"/>
                      <w:rFonts w:ascii="Times New Roman" w:hAnsi="Times New Roman"/>
                    </w:rPr>
                    <w:t xml:space="preserve">• Completion Date: 30 September 2026</w:t>
                  </w:r>
                </w:p>
                <w:p>
                  <w:pPr>
                    <w:spacing w:after="40"/>
                    <w:ind w:left="220" w:hanging="160"/>
                  </w:pPr>
                  <w:r>
                    <w:rPr>
                      <w:sz w:val="19"/>
                      <w:rFonts w:ascii="Times New Roman" w:hAnsi="Times New Roman"/>
                    </w:rPr>
                    <w:t xml:space="preserve">• Fixed Fee: £120,000</w:t>
                  </w:r>
                </w:p>
                <w:p>
                  <w:pPr>
                    <w:spacing w:after="40"/>
                    <w:ind w:left="220" w:hanging="160"/>
                  </w:pPr>
                  <w:r>
                    <w:rPr>
                      <w:sz w:val="19"/>
                      <w:rFonts w:ascii="Times New Roman" w:hAnsi="Times New Roman"/>
                    </w:rPr>
                    <w:t xml:space="preserve">• Fees inclusive of all travel, expenses and third-party licence costs</w:t>
                  </w:r>
                </w:p>
                <w:p>
                  <w:pPr>
                    <w:spacing w:after="40"/>
                    <w:ind w:left="220" w:hanging="160"/>
                  </w:pPr>
                  <w:r>
                    <w:rPr>
                      <w:sz w:val="19"/>
                      <w:rFonts w:ascii="Times New Roman" w:hAnsi="Times New Roman"/>
                    </w:rPr>
                    <w:t xml:space="preserve">• Liability cap: as set out in the Order Form</w:t>
                  </w:r>
                </w:p>
              </w:txbxContent>
            </v:textbox>
          </v:rect>
        </w:pict>
      </w:r>
    </w:p>
    <w:p>
      <w:pPr>
        <w:pStyle w:val="Heading1"/>
      </w:pPr>
      <w:r>
        <w:t>1. Background and objectives</w:t>
      </w:r>
    </w:p>
    <w:p>
      <w:r>
        <w:rPr>
          <w:b/>
          <w:i w:val="0"/>
        </w:rPr>
        <w:t>1.1</w:t>
      </w:r>
      <w:r>
        <w:rPr>
          <w:b w:val="0"/>
          <w:i w:val="0"/>
        </w:rPr>
        <w:t xml:space="preserve"> The Customer's claims triage team receives approximately 48,000 new claims each year across its specialist lines. Intake is currently split between a legacy workflow tool and a set of spreadsheets maintained by team leaders.</w:t>
      </w:r>
    </w:p>
    <w:p>
      <w:r>
        <w:rPr>
          <w:b/>
          <w:i w:val="0"/>
        </w:rPr>
        <w:t>1.2</w:t>
      </w:r>
      <w:r>
        <w:rPr>
          <w:b w:val="0"/>
          <w:i w:val="0"/>
        </w:rPr>
        <w:t xml:space="preserve"> The Customer wishes to implement Bramber Flow as its claims triage and case management platform for the delegated authority and specialty claims teams, replacing the legacy tool and the spreadsheets.</w:t>
      </w:r>
    </w:p>
    <w:p>
      <w:r>
        <w:rPr>
          <w:b/>
          <w:i w:val="0"/>
        </w:rPr>
        <w:t>1.3</w:t>
      </w:r>
      <w:r>
        <w:rPr>
          <w:b w:val="0"/>
          <w:i w:val="0"/>
        </w:rPr>
        <w:t xml:space="preserve"> The objectives of the project are to reduce average triage time, provide a single audit trail for claim decisions, and give team leaders real-time visibility of queue performance.</w:t>
      </w:r>
    </w:p>
    <w:p>
      <w:r>
        <w:rPr>
          <w:b/>
          <w:i w:val="0"/>
        </w:rPr>
        <w:t>1.4</w:t>
      </w:r>
      <w:r>
        <w:rPr>
          <w:b w:val="0"/>
          <w:i w:val="0"/>
        </w:rPr>
        <w:t xml:space="preserve"> The commercial terms are summarised in the key terms box above. The fee for the Services is set out in </w:t>
      </w:r>
      <w:fldSimple w:instr=" REF _RefFees \h ">
        <w:r>
          <w:t>Clause 8 (Fees and expenses)</w:t>
        </w:r>
      </w:fldSimple>
      <w:r>
        <w:rPr>
          <w:b w:val="0"/>
          <w:i w:val="0"/>
        </w:rPr>
        <w:t>, and the deliverables are listed in Schedule 1.</w:t>
      </w:r>
    </w:p>
    <w:p>
      <w:r>
        <w:rPr>
          <w:b/>
          <w:i w:val="0"/>
        </w:rPr>
        <w:t>1.5 Definitions.</w:t>
      </w:r>
      <w:r>
        <w:rPr>
          <w:b w:val="0"/>
          <w:i w:val="0"/>
        </w:rPr>
        <w:t xml:space="preserve"> Capitalised terms used but not defined in this SOW have the meanings given in the MSA. In this SOW, “Deliverables” means the deliverables listed in Schedule 1, “Completion Date” means 30 September 2026, and “Supplier Background IP” has the meaning given in the MSA.</w:t>
      </w:r>
    </w:p>
    <w:p>
      <w:pPr>
        <w:pStyle w:val="Heading1"/>
      </w:pPr>
      <w:r>
        <w:t>2. Scope of services</w:t>
      </w:r>
    </w:p>
    <w:p>
      <w:r>
        <w:rPr>
          <w:b/>
          <w:i w:val="0"/>
        </w:rPr>
        <w:t>2.1</w:t>
      </w:r>
      <w:r>
        <w:rPr>
          <w:b w:val="0"/>
          <w:i w:val="0"/>
        </w:rPr>
        <w:t xml:space="preserve"> The Supplier shall design, configure, test and deploy the Platform for the Customer, migrate the in-scope claim data, integrate the Platform with the Customer's policy administration system and provide training to the Customer's claims teams.</w:t>
      </w:r>
    </w:p>
    <w:p>
      <w:r>
        <w:rPr>
          <w:b/>
          <w:i w:val="0"/>
        </w:rPr>
        <w:t>2.2</w:t>
      </w:r>
      <w:r>
        <w:rPr>
          <w:b w:val="0"/>
          <w:i w:val="0"/>
        </w:rPr>
        <w:t xml:space="preserve"> The following work is in scope:</w:t>
      </w:r>
    </w:p>
    <w:p>
      <w:pPr>
        <w:pStyle w:val="ListBullet"/>
        <w:spacing w:after="40"/>
        <w:ind w:left="652"/>
      </w:pPr>
      <w:r>
        <w:rPr>
          <w:b w:val="0"/>
          <w:i w:val="0"/>
        </w:rPr>
        <w:t>discovery workshops with the claims, underwriting and data teams;</w:t>
      </w:r>
    </w:p>
    <w:p>
      <w:pPr>
        <w:pStyle w:val="ListBullet"/>
        <w:spacing w:after="40"/>
        <w:ind w:left="652"/>
      </w:pPr>
      <w:r>
        <w:rPr>
          <w:b w:val="0"/>
          <w:i w:val="0"/>
        </w:rPr>
        <w:t>configuration of the claims triage, case management and reporting modules;</w:t>
      </w:r>
    </w:p>
    <w:p>
      <w:pPr>
        <w:pStyle w:val="ListBullet"/>
        <w:spacing w:after="40"/>
        <w:ind w:left="652"/>
      </w:pPr>
      <w:r>
        <w:rPr>
          <w:b w:val="0"/>
          <w:i w:val="0"/>
        </w:rPr>
        <w:t>migration of open claims and the last 24 months of closed claims;</w:t>
      </w:r>
    </w:p>
    <w:p>
      <w:pPr>
        <w:pStyle w:val="ListBullet"/>
        <w:spacing w:after="40"/>
        <w:ind w:left="652"/>
      </w:pPr>
      <w:r>
        <w:rPr>
          <w:b w:val="0"/>
          <w:i w:val="0"/>
        </w:rPr>
        <w:t>integration with Meridian ClaimsCenter and Aldergate Identity;</w:t>
      </w:r>
    </w:p>
    <w:p>
      <w:pPr>
        <w:pStyle w:val="ListBullet"/>
        <w:spacing w:after="40"/>
        <w:ind w:left="652"/>
      </w:pPr>
      <w:r>
        <w:rPr>
          <w:b w:val="0"/>
          <w:i w:val="0"/>
        </w:rPr>
        <w:t>role-based training for 450 Authorised Users and a train-the-trainer programme for 20 team leaders;</w:t>
      </w:r>
    </w:p>
    <w:p>
      <w:pPr>
        <w:pStyle w:val="ListBullet"/>
        <w:spacing w:after="40"/>
        <w:ind w:left="652"/>
      </w:pPr>
      <w:r>
        <w:rPr>
          <w:b w:val="0"/>
          <w:i w:val="0"/>
        </w:rPr>
        <w:t>a 30-day hypercare period following go-live.</w:t>
      </w:r>
    </w:p>
    <w:p>
      <w:r>
        <w:rPr>
          <w:b/>
          <w:i w:val="0"/>
        </w:rPr>
        <w:t>2.3</w:t>
      </w:r>
      <w:r>
        <w:rPr>
          <w:b w:val="0"/>
          <w:i w:val="0"/>
        </w:rPr>
        <w:t xml:space="preserve"> The following work is out of scope and may be provided under a separate change order:</w:t>
      </w:r>
    </w:p>
    <w:p>
      <w:pPr>
        <w:pStyle w:val="ListBullet"/>
        <w:spacing w:after="40"/>
        <w:ind w:left="652"/>
      </w:pPr>
      <w:r>
        <w:rPr>
          <w:b w:val="0"/>
          <w:i w:val="0"/>
        </w:rPr>
        <w:t>migration of closed claims older than 24 months;</w:t>
      </w:r>
    </w:p>
    <w:p>
      <w:pPr>
        <w:pStyle w:val="ListBullet"/>
        <w:spacing w:after="40"/>
        <w:ind w:left="652"/>
      </w:pPr>
      <w:r>
        <w:rPr>
          <w:b w:val="0"/>
          <w:i w:val="0"/>
        </w:rPr>
        <w:t>custom development of new product lines or underwriting rules;</w:t>
      </w:r>
    </w:p>
    <w:p>
      <w:pPr>
        <w:pStyle w:val="ListBullet"/>
        <w:spacing w:after="40"/>
        <w:ind w:left="652"/>
      </w:pPr>
      <w:r>
        <w:rPr>
          <w:b w:val="0"/>
          <w:i w:val="0"/>
        </w:rPr>
        <w:t>integration with the Customer's broker portal or reinsurance systems;</w:t>
      </w:r>
    </w:p>
    <w:p>
      <w:pPr>
        <w:pStyle w:val="ListBullet"/>
        <w:spacing w:after="40"/>
        <w:ind w:left="652"/>
      </w:pPr>
      <w:r>
        <w:rPr>
          <w:b w:val="0"/>
          <w:i w:val="0"/>
        </w:rPr>
        <w:t>data cleansing, deduplication or remediation of Customer Data.</w:t>
      </w:r>
    </w:p>
    <w:p>
      <w:r>
        <w:rPr>
          <w:b/>
          <w:i w:val="0"/>
        </w:rPr>
        <w:t>2.4</w:t>
      </w:r>
      <w:r>
        <w:rPr>
          <w:b w:val="0"/>
          <w:i w:val="0"/>
        </w:rPr>
        <w:t xml:space="preserve"> The Supplier shall perform the Services at the Customer's premises in Leeds where reasonably required, and remotely from its Bristol office otherwise.</w:t>
      </w:r>
    </w:p>
    <w:p>
      <w:pPr>
        <w:pStyle w:val="Heading1"/>
      </w:pPr>
      <w:r>
        <w:t>3. Project governance</w:t>
      </w:r>
    </w:p>
    <w:p>
      <w:r>
        <w:rPr>
          <w:b/>
          <w:i w:val="0"/>
        </w:rPr>
        <w:t>3.1</w:t>
      </w:r>
      <w:r>
        <w:rPr>
          <w:b w:val="0"/>
          <w:i w:val="0"/>
        </w:rPr>
        <w:t xml:space="preserve"> The parties shall establish a steering committee comprising the Customer's Programme Director, the Customer's Head of Claims Operations, the Supplier's Engagement Director and the Supplier's Delivery Lead. The steering committee shall meet monthly.</w:t>
      </w:r>
    </w:p>
    <w:p>
      <w:r>
        <w:rPr>
          <w:b/>
          <w:i w:val="0"/>
        </w:rPr>
        <w:t>3.2</w:t>
      </w:r>
      <w:r>
        <w:rPr>
          <w:b w:val="0"/>
          <w:i w:val="0"/>
        </w:rPr>
        <w:t xml:space="preserve"> Each party shall appoint a project manager. The project managers shall meet weekly, maintain the project plan and escalate risks to the steering committee.</w:t>
      </w:r>
    </w:p>
    <w:p>
      <w:r>
        <w:rPr>
          <w:b/>
          <w:i w:val="0"/>
        </w:rPr>
        <w:t>3.3</w:t>
      </w:r>
      <w:r>
        <w:rPr>
          <w:b w:val="0"/>
          <w:i w:val="0"/>
        </w:rPr>
        <w:t xml:space="preserve"> The Supplier shall provide a written status report every Friday, including progress against the plan, risks, issues and decisions required from the Customer.</w:t>
      </w:r>
    </w:p>
    <w:p>
      <w:r>
        <w:rPr>
          <w:b/>
          <w:i w:val="0"/>
        </w:rPr>
        <w:t>3.4</w:t>
      </w:r>
      <w:r>
        <w:rPr>
          <w:b w:val="0"/>
          <w:i w:val="0"/>
        </w:rPr>
        <w:t xml:space="preserve"> The key personnel for each party are listed in Schedule 2. Neither party shall replace a key person without the other party's prior written consent, except where the replacement is required by law or by the person's departure from the business.</w:t>
      </w:r>
    </w:p>
    <w:p>
      <w:pPr>
        <w:pStyle w:val="Heading1"/>
      </w:pPr>
      <w:r>
        <w:t>4. Deliverables and milestones</w:t>
      </w:r>
    </w:p>
    <w:p>
      <w:r>
        <w:rPr>
          <w:b/>
          <w:i w:val="0"/>
        </w:rPr>
        <w:t>4.1</w:t>
      </w:r>
      <w:r>
        <w:rPr>
          <w:b w:val="0"/>
          <w:i w:val="0"/>
        </w:rPr>
        <w:t xml:space="preserve"> The Supplier shall deliver the Deliverables in accordance with the milestones and target dates in Schedule 1.</w:t>
      </w:r>
    </w:p>
    <w:p>
      <w:r>
        <w:rPr>
          <w:b/>
          <w:i w:val="0"/>
        </w:rPr>
        <w:t>4.2</w:t>
      </w:r>
      <w:r>
        <w:rPr>
          <w:b w:val="0"/>
          <w:i w:val="0"/>
        </w:rPr>
        <w:t xml:space="preserve"> Target dates are indicative and may be adjusted by agreement in writing where a delay is caused by the Customer's failure to provide access, data or decisions.</w:t>
      </w:r>
    </w:p>
    <w:p>
      <w:r>
        <w:rPr>
          <w:b/>
          <w:i w:val="0"/>
        </w:rPr>
        <w:t>4.3</w:t>
      </w:r>
      <w:r>
        <w:rPr>
          <w:b w:val="0"/>
          <w:i w:val="0"/>
        </w:rPr>
        <w:t xml:space="preserve"> The Supplier shall notify the Customer at least five (5) Business Days before each milestone date if it considers that the milestone will be missed, giving reasons and a recovery plan.</w:t>
      </w:r>
    </w:p>
    <w:p>
      <w:pPr>
        <w:pStyle w:val="Heading1"/>
      </w:pPr>
      <w:r>
        <w:t>5. Acceptance</w:t>
      </w:r>
    </w:p>
    <w:p>
      <w:r>
        <w:rPr>
          <w:b/>
          <w:i w:val="0"/>
        </w:rPr>
        <w:t>5.1</w:t>
      </w:r>
      <w:r>
        <w:rPr>
          <w:b w:val="0"/>
          <w:i w:val="0"/>
        </w:rPr>
        <w:t xml:space="preserve"> The Customer shall test each Deliverable against the acceptance criteria in Schedule 1 and shall notify the Supplier of acceptance or rejection within ten (10) Business Days of delivery.</w:t>
      </w:r>
      <w:r>
        <w:rPr>
          <w:vertAlign w:val="superscript"/>
        </w:rPr>
        <w:footnoteReference w:id="101"/>
      </w:r>
    </w:p>
    <w:p>
      <w:r>
        <w:rPr>
          <w:b/>
          <w:i w:val="0"/>
        </w:rPr>
        <w:t>5.2</w:t>
      </w:r>
      <w:r>
        <w:rPr>
          <w:b w:val="0"/>
          <w:i w:val="0"/>
        </w:rPr>
        <w:t xml:space="preserve"> Customer may reject any Deliverable if, in its sole discretion, the Deliverable does not meet Customer's expectations.</w:t>
      </w:r>
    </w:p>
    <w:p>
      <w:r>
        <w:rPr>
          <w:b/>
          <w:i w:val="0"/>
        </w:rPr>
        <w:t>5.3</w:t>
      </w:r>
      <w:r>
        <w:rPr>
          <w:b w:val="0"/>
          <w:i w:val="0"/>
        </w:rPr>
        <w:t xml:space="preserve"> If the Customer rejects a Deliverable, the Supplier shall remedy the non-conformity and resubmit the Deliverable within fifteen (15) Business Days. The Customer shall then have a further ten (10) Business Days to accept or reject.</w:t>
      </w:r>
    </w:p>
    <w:p>
      <w:r>
        <w:rPr>
          <w:b/>
          <w:i w:val="0"/>
        </w:rPr>
        <w:t>5.4</w:t>
      </w:r>
      <w:r>
        <w:rPr>
          <w:b w:val="0"/>
          <w:i w:val="0"/>
        </w:rPr>
        <w:t xml:space="preserve"> Acceptance is not deemed by the passage of time. A Deliverable is accepted only when the Customer signs the acceptance certificate.</w:t>
      </w:r>
    </w:p>
    <w:p>
      <w:r>
        <w:rPr>
          <w:b/>
          <w:i w:val="0"/>
        </w:rPr>
        <w:t>5.5</w:t>
      </w:r>
      <w:r>
        <w:rPr>
          <w:b w:val="0"/>
          <w:i w:val="0"/>
        </w:rPr>
        <w:t xml:space="preserve"> Acceptance of a Deliverable does not waive any warranty or other right of the Customer under the MSA.</w:t>
      </w:r>
    </w:p>
    <w:p>
      <w:pPr>
        <w:pStyle w:val="Heading1"/>
      </w:pPr>
      <w:r>
        <w:t>6. Customer responsibilities</w:t>
      </w:r>
    </w:p>
    <w:p>
      <w:r>
        <w:rPr>
          <w:b/>
          <w:i w:val="0"/>
        </w:rPr>
        <w:t>6.1</w:t>
      </w:r>
      <w:r>
        <w:rPr>
          <w:b w:val="0"/>
          <w:i w:val="0"/>
        </w:rPr>
        <w:t xml:space="preserve"> The Customer shall provide the Supplier with access to the claims, underwriting and data teams, the policy administration system, test environments and the data required for migration.</w:t>
      </w:r>
    </w:p>
    <w:p>
      <w:r>
        <w:rPr>
          <w:b/>
          <w:i w:val="0"/>
        </w:rPr>
        <w:t>6.2</w:t>
      </w:r>
      <w:r>
        <w:rPr>
          <w:b w:val="0"/>
          <w:i w:val="0"/>
        </w:rPr>
        <w:t xml:space="preserve"> The Customer shall nominate a single point of contact for approvals and shall respond to requests for decisions within five (5) Business Days.</w:t>
      </w:r>
    </w:p>
    <w:p>
      <w:r>
        <w:rPr>
          <w:b/>
          <w:i w:val="0"/>
        </w:rPr>
        <w:t>6.3</w:t>
      </w:r>
      <w:r>
        <w:rPr>
          <w:b w:val="0"/>
          <w:i w:val="0"/>
        </w:rPr>
        <w:t xml:space="preserve"> The Customer shall ensure that the Change Advisory Board reviews the release plan and provides a decision within ten (10) Business Days of submission.</w:t>
      </w:r>
    </w:p>
    <w:p>
      <w:r>
        <w:rPr>
          <w:b/>
          <w:i w:val="0"/>
        </w:rPr>
        <w:t>6.4</w:t>
      </w:r>
      <w:r>
        <w:rPr>
          <w:b w:val="0"/>
          <w:i w:val="0"/>
        </w:rPr>
        <w:t xml:space="preserve"> The Customer is responsible for the accuracy and completeness of Customer Data provided for migration, and for obtaining any consents required for the Supplier to process it.</w:t>
      </w:r>
    </w:p>
    <w:p>
      <w:pPr>
        <w:pStyle w:val="Heading1"/>
      </w:pPr>
      <w:r>
        <w:t>7. Intellectual property</w:t>
      </w:r>
    </w:p>
    <w:p>
      <w:r>
        <w:rPr>
          <w:b/>
          <w:i w:val="0"/>
        </w:rPr>
        <w:t>7.1</w:t>
      </w:r>
      <w:r>
        <w:rPr>
          <w:b w:val="0"/>
          <w:i w:val="0"/>
        </w:rPr>
        <w:t xml:space="preserve"> The Supplier retains all right, title and interest in the Platform, the Supplier's tools, templates and know-how, and all improvements to them.</w:t>
      </w:r>
    </w:p>
    <w:p>
      <w:r>
        <w:rPr>
          <w:b/>
          <w:i w:val="0"/>
        </w:rPr>
        <w:t>7.2</w:t>
      </w:r>
      <w:r>
        <w:rPr>
          <w:b w:val="0"/>
          <w:i w:val="0"/>
        </w:rPr>
        <w:t xml:space="preserve"> Supplier hereby assigns to Customer, with full title guarantee, all right, title and interest in and to the Deliverables, including any Supplier Background IP incorporated in them.</w:t>
      </w:r>
    </w:p>
    <w:p>
      <w:r>
        <w:rPr>
          <w:b/>
          <w:i w:val="0"/>
        </w:rPr>
        <w:t>7.3</w:t>
      </w:r>
      <w:r>
        <w:rPr>
          <w:b w:val="0"/>
          <w:i w:val="0"/>
        </w:rPr>
        <w:t xml:space="preserve"> The Customer grants the Supplier a licence to use Customer Data solely to perform the Services and to provide support.</w:t>
      </w:r>
    </w:p>
    <w:p>
      <w:r>
        <w:rPr>
          <w:b/>
          <w:i w:val="0"/>
        </w:rPr>
        <w:t>7.4</w:t>
      </w:r>
      <w:r>
        <w:rPr>
          <w:b w:val="0"/>
          <w:i w:val="0"/>
        </w:rPr>
        <w:t xml:space="preserve"> The Customer grants the Supplier a perpetual, irrevocable, royalty-free licence to use the Supplier Background IP embedded in the Deliverables solely to provide support and maintain the Platform after acceptance.</w:t>
      </w:r>
    </w:p>
    <w:p>
      <w:pPr>
        <w:pStyle w:val="Heading1"/>
      </w:pPr>
      <w:bookmarkStart w:id="501" w:name="_RefFees"/>
      <w:r>
        <w:t>8. Fees and expenses</w:t>
      </w:r>
      <w:bookmarkEnd w:id="501"/>
    </w:p>
    <w:p>
      <w:r>
        <w:rPr>
          <w:b/>
          <w:i w:val="0"/>
        </w:rPr>
        <w:t>8.1</w:t>
      </w:r>
      <w:r>
        <w:rPr>
          <w:b w:val="0"/>
          <w:i w:val="0"/>
        </w:rPr>
        <w:t xml:space="preserve"> The fixed fee for the Deliverables is £120,000, exclusive of VAT, payable in accordance with the milestone schedule in Schedule 1.</w:t>
      </w:r>
    </w:p>
    <w:p>
      <w:r>
        <w:rPr>
          <w:b/>
          <w:i w:val="0"/>
        </w:rPr>
        <w:t>8.2</w:t>
      </w:r>
      <w:r>
        <w:rPr>
          <w:b w:val="0"/>
          <w:i w:val="0"/>
        </w:rPr>
        <w:t xml:space="preserve"> The Supplier shall invoice the Customer on completion of each milestone. Invoices are payable within thirty (30) days of the invoice date.</w:t>
      </w:r>
    </w:p>
    <w:p>
      <w:r>
        <w:rPr>
          <w:b/>
          <w:i w:val="0"/>
        </w:rPr>
        <w:t>8.3</w:t>
      </w:r>
      <w:r>
        <w:rPr>
          <w:b w:val="0"/>
          <w:i w:val="0"/>
        </w:rPr>
        <w:t xml:space="preserve"> Travel and expenses incurred in accordance with the MSA will be invoiced at cost, supported by receipts, and are subject to the cap in Clause 4.5 of the MSA.</w:t>
      </w:r>
    </w:p>
    <w:p>
      <w:r>
        <w:rPr>
          <w:b/>
          <w:i w:val="0"/>
        </w:rPr>
        <w:t>8.4</w:t>
      </w:r>
      <w:r>
        <w:rPr>
          <w:b w:val="0"/>
          <w:i w:val="0"/>
        </w:rPr>
        <w:t xml:space="preserve"> Third-party licence costs for the optional integrations listed in Schedule 1 of the Order Form are payable by the Customer at cost. Integrations marked as included are covered by the subscription Fees.</w:t>
      </w:r>
    </w:p>
    <w:p>
      <w:pPr>
        <w:pStyle w:val="Heading1"/>
      </w:pPr>
      <w:r>
        <w:t>9. Data and machine learning</w:t>
      </w:r>
    </w:p>
    <w:p>
      <w:r>
        <w:rPr>
          <w:b/>
          <w:i w:val="0"/>
        </w:rPr>
        <w:t>9.1</w:t>
      </w:r>
      <w:r>
        <w:rPr>
          <w:b w:val="0"/>
          <w:i w:val="0"/>
        </w:rPr>
        <w:t xml:space="preserve"> The parties shall comply with Schedule 4 to the MSA. The Customer is the controller and the Supplier is the processor of Personal Data processed under this SOW.</w:t>
      </w:r>
    </w:p>
    <w:p>
      <w:r>
        <w:rPr>
          <w:b/>
          <w:i w:val="0"/>
        </w:rPr>
        <w:t>9.2</w:t>
      </w:r>
      <w:r>
        <w:rPr>
          <w:b w:val="0"/>
          <w:i w:val="0"/>
        </w:rPr>
        <w:t xml:space="preserve"> The Supplier shall process Customer Data only to perform the Services and in accordance with the Customer's documented instructions.</w:t>
      </w:r>
    </w:p>
    <w:p>
      <w:r>
        <w:rPr>
          <w:b/>
          <w:i w:val="0"/>
        </w:rPr>
        <w:t>9.3</w:t>
      </w:r>
      <w:r>
        <w:rPr>
          <w:b w:val="0"/>
          <w:i w:val="0"/>
        </w:rPr>
        <w:t xml:space="preserve"> The Supplier may create aggregated and de-identified data from Customer Data for capacity planning and service improvement, provided that the data cannot be re-identified.</w:t>
      </w:r>
    </w:p>
    <w:p>
      <w:r>
        <w:rPr>
          <w:b/>
          <w:i w:val="0"/>
        </w:rPr>
        <w:t>9.4</w:t>
      </w:r>
      <w:r>
        <w:rPr>
          <w:b w:val="0"/>
          <w:i w:val="0"/>
        </w:rPr>
        <w:t xml:space="preserve"> Supplier may use Customer Data, including claim notes, outcomes and any derived datasets, to train, test and improve its machine-learning models and those of its Affiliates.</w:t>
      </w:r>
    </w:p>
    <w:p>
      <w:r>
        <w:rPr>
          <w:b/>
          <w:i w:val="0"/>
        </w:rPr>
        <w:t>9.5</w:t>
      </w:r>
      <w:r>
        <w:rPr>
          <w:b w:val="0"/>
          <w:i w:val="0"/>
        </w:rPr>
        <w:t xml:space="preserve"> The Supplier shall implement the security measures in Schedule 2 to the MSA for all environments used in the project.</w:t>
      </w:r>
    </w:p>
    <w:p>
      <w:pPr>
        <w:pStyle w:val="Heading1"/>
      </w:pPr>
      <w:r>
        <w:t>10. Change control</w:t>
      </w:r>
    </w:p>
    <w:p>
      <w:r>
        <w:rPr>
          <w:b/>
          <w:i w:val="0"/>
        </w:rPr>
        <w:t>10.1</w:t>
      </w:r>
      <w:r>
        <w:rPr>
          <w:b w:val="0"/>
          <w:i w:val="0"/>
        </w:rPr>
        <w:t xml:space="preserve"> Either party may request a change to the scope, schedule or fees by submitting a written change request to the other party's project manager.</w:t>
      </w:r>
    </w:p>
    <w:p>
      <w:r>
        <w:rPr>
          <w:b/>
          <w:i w:val="0"/>
        </w:rPr>
        <w:t>10.2</w:t>
      </w:r>
      <w:r>
        <w:rPr>
          <w:b w:val="0"/>
          <w:i w:val="0"/>
        </w:rPr>
        <w:t xml:space="preserve"> The Supplier shall assess the impact of the change on scope, schedule, fees and resources within five (5) Business Days and provide a written change order.</w:t>
      </w:r>
    </w:p>
    <w:p>
      <w:r>
        <w:rPr>
          <w:b/>
          <w:i w:val="0"/>
        </w:rPr>
        <w:t>10.3</w:t>
      </w:r>
      <w:r>
        <w:rPr>
          <w:b w:val="0"/>
          <w:i w:val="0"/>
        </w:rPr>
        <w:t xml:space="preserve"> No change is effective until the change order is signed by both parties. The Supplier is not obliged to perform work outside the scope until the change order is signed.</w:t>
      </w:r>
    </w:p>
    <w:p>
      <w:r>
        <w:rPr>
          <w:b/>
          <w:i w:val="0"/>
        </w:rPr>
        <w:t>10.4</w:t>
      </w:r>
      <w:r>
        <w:rPr>
          <w:b w:val="0"/>
          <w:i w:val="0"/>
        </w:rPr>
        <w:t xml:space="preserve"> The Supplier may continue to perform the unchanged scope while a change request is under review.</w:t>
      </w:r>
    </w:p>
    <w:p>
      <w:pPr>
        <w:pStyle w:val="Heading1"/>
      </w:pPr>
      <w:r>
        <w:t>11. Term and termination</w:t>
      </w:r>
    </w:p>
    <w:p>
      <w:r>
        <w:rPr>
          <w:b/>
          <w:i w:val="0"/>
        </w:rPr>
        <w:t>11.1</w:t>
      </w:r>
      <w:r>
        <w:rPr>
          <w:b w:val="0"/>
          <w:i w:val="0"/>
        </w:rPr>
        <w:t xml:space="preserve"> This SOW begins on the Effective Date and continues until 30 September 2026, unless terminated earlier in accordance with this Clause 11.</w:t>
      </w:r>
    </w:p>
    <w:p>
      <w:r>
        <w:rPr>
          <w:b/>
          <w:i w:val="0"/>
        </w:rPr>
        <w:t>11.2</w:t>
      </w:r>
      <w:r>
        <w:rPr>
          <w:b w:val="0"/>
          <w:i w:val="0"/>
        </w:rPr>
        <w:t xml:space="preserve"> Either party may terminate this SOW for material breach in accordance with Clause 13.3 of the MSA.</w:t>
      </w:r>
    </w:p>
    <w:p>
      <w:r>
        <w:rPr>
          <w:b/>
          <w:i w:val="0"/>
        </w:rPr>
        <w:t>11.3</w:t>
      </w:r>
      <w:r>
        <w:rPr>
          <w:b w:val="0"/>
          <w:i w:val="0"/>
        </w:rPr>
        <w:t xml:space="preserve"> On termination, the Customer shall pay for work performed and non-cancellable commitments incurred to the date of termination, and the Supplier shall provide a written handover of work in progress.</w:t>
      </w:r>
    </w:p>
    <w:p>
      <w:r>
        <w:rPr>
          <w:b/>
          <w:i w:val="0"/>
        </w:rPr>
        <w:t>11.4</w:t>
      </w:r>
      <w:r>
        <w:rPr>
          <w:b w:val="0"/>
          <w:i w:val="0"/>
        </w:rPr>
        <w:t xml:space="preserve"> Termination of this SOW does not terminate the MSA or any Order Form.</w:t>
      </w:r>
    </w:p>
    <w:p>
      <w:pPr>
        <w:pStyle w:val="Heading1"/>
      </w:pPr>
      <w:r>
        <w:t>12. General</w:t>
      </w:r>
    </w:p>
    <w:p>
      <w:r>
        <w:rPr>
          <w:b/>
          <w:i w:val="0"/>
        </w:rPr>
        <w:t>12.1</w:t>
      </w:r>
      <w:r>
        <w:rPr>
          <w:b w:val="0"/>
          <w:i w:val="0"/>
        </w:rPr>
        <w:t xml:space="preserve"> This SOW incorporates the MSA. In the event of a conflict, the order of precedence in Clause 2.3 of the MSA applies.</w:t>
      </w:r>
    </w:p>
    <w:p>
      <w:r>
        <w:rPr>
          <w:b/>
          <w:i w:val="0"/>
        </w:rPr>
        <w:t>12.2</w:t>
      </w:r>
      <w:r>
        <w:rPr>
          <w:b w:val="0"/>
          <w:i w:val="0"/>
        </w:rPr>
        <w:t xml:space="preserve"> This SOW, together with the MSA and the Order Form, constitutes the entire agreement between the parties in relation to the project.</w:t>
      </w:r>
    </w:p>
    <w:p>
      <w:r>
        <w:rPr>
          <w:b/>
          <w:i w:val="0"/>
        </w:rPr>
        <w:t>12.3</w:t>
      </w:r>
      <w:r>
        <w:rPr>
          <w:b w:val="0"/>
          <w:i w:val="0"/>
        </w:rPr>
        <w:t xml:space="preserve"> Notices under this SOW shall be given in accordance with Clause 17 of the MSA, with a copy to the Customer's Programme Director and the Supplier's Engagement Director.</w:t>
      </w:r>
    </w:p>
    <w:p>
      <w:r>
        <w:rPr>
          <w:b/>
          <w:i w:val="0"/>
        </w:rPr>
        <w:t>12.4</w:t>
      </w:r>
      <w:r>
        <w:rPr>
          <w:b w:val="0"/>
          <w:i w:val="0"/>
        </w:rPr>
        <w:t xml:space="preserve"> This SOW is governed by the laws of England and Wales, and the parties submit to the exclusive jurisdiction of the courts of England and Wales.</w:t>
      </w:r>
    </w:p>
    <w:p>
      <w:pPr>
        <w:spacing w:after="0"/>
      </w:pPr>
      <w:r>
        <w:br w:type="page"/>
      </w:r>
    </w:p>
    <w:p>
      <w:pPr>
        <w:pStyle w:val="Heading1"/>
      </w:pPr>
      <w:r>
        <w:t>Schedule 1 — Deliverables and Milestones</w:t>
      </w:r>
    </w:p>
    <w:p>
      <w:r>
        <w:rPr>
          <w:b w:val="0"/>
          <w:i w:val="0"/>
        </w:rPr>
        <w:t>The Deliverables, target dates, fees and acceptance criteria are set out below.</w:t>
      </w:r>
    </w:p>
    <w:tbl>
      <w:tblPr>
        <w:tblW w:type="auto" w:w="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60" w:type="dxa"/>
          <w:left w:w="90" w:type="dxa"/>
          <w:bottom w:w="60" w:type="dxa"/>
          <w:right w:w="90" w:type="dxa"/>
        </w:tblCellMar>
        <w:tblLook w:firstColumn="1" w:firstRow="1" w:lastColumn="0" w:lastRow="0" w:noHBand="0" w:noVBand="1" w:val="04A0"/>
      </w:tblPr>
      <w:tblGrid>
        <w:gridCol w:w="1882"/>
        <w:gridCol w:w="1882"/>
        <w:gridCol w:w="1882"/>
        <w:gridCol w:w="1882"/>
        <w:gridCol w:w="1882"/>
      </w:tblGrid>
      <w:tr>
        <w:trPr>
          <w:tblHeader w:val="true"/>
        </w:trPr>
        <w:tc>
          <w:tcPr>
            <w:tcW w:type="dxa" w:w="1928"/>
            <w:shd w:val="clear" w:color="auto" w:fill="1F3864"/>
          </w:tcPr>
          <w:p>
            <w:pPr>
              <w:spacing w:after="0" w:line="240" w:lineRule="auto"/>
            </w:pPr>
            <w:r>
              <w:rPr>
                <w:b/>
                <w:color w:val="FFFFFF"/>
                <w:sz w:val="16"/>
              </w:rPr>
              <w:t>Deliverable</w:t>
            </w:r>
          </w:p>
        </w:tc>
        <w:tc>
          <w:tcPr>
            <w:tcW w:type="dxa" w:w="3061"/>
            <w:shd w:val="clear" w:color="auto" w:fill="1F3864"/>
          </w:tcPr>
          <w:p>
            <w:pPr>
              <w:spacing w:after="0" w:line="240" w:lineRule="auto"/>
            </w:pPr>
            <w:r>
              <w:rPr>
                <w:b/>
                <w:color w:val="FFFFFF"/>
                <w:sz w:val="16"/>
              </w:rPr>
              <w:t>Description</w:t>
            </w:r>
          </w:p>
        </w:tc>
        <w:tc>
          <w:tcPr>
            <w:tcW w:type="dxa" w:w="1247"/>
            <w:shd w:val="clear" w:color="auto" w:fill="1F3864"/>
          </w:tcPr>
          <w:p>
            <w:pPr>
              <w:spacing w:after="0" w:line="240" w:lineRule="auto"/>
            </w:pPr>
            <w:r>
              <w:rPr>
                <w:b/>
                <w:color w:val="FFFFFF"/>
                <w:sz w:val="16"/>
              </w:rPr>
              <w:t>Target date</w:t>
            </w:r>
          </w:p>
        </w:tc>
        <w:tc>
          <w:tcPr>
            <w:tcW w:type="dxa" w:w="907"/>
            <w:shd w:val="clear" w:color="auto" w:fill="1F3864"/>
          </w:tcPr>
          <w:p>
            <w:pPr>
              <w:spacing w:after="0" w:line="240" w:lineRule="auto"/>
            </w:pPr>
            <w:r>
              <w:rPr>
                <w:b/>
                <w:color w:val="FFFFFF"/>
                <w:sz w:val="16"/>
              </w:rPr>
              <w:t>Fee</w:t>
            </w:r>
          </w:p>
        </w:tc>
        <w:tc>
          <w:tcPr>
            <w:tcW w:type="dxa" w:w="2268"/>
            <w:shd w:val="clear" w:color="auto" w:fill="1F3864"/>
          </w:tcPr>
          <w:p>
            <w:pPr>
              <w:spacing w:after="0" w:line="240" w:lineRule="auto"/>
            </w:pPr>
            <w:r>
              <w:rPr>
                <w:b/>
                <w:color w:val="FFFFFF"/>
                <w:sz w:val="16"/>
              </w:rPr>
              <w:t>Acceptance criteria</w:t>
            </w:r>
          </w:p>
        </w:tc>
      </w:tr>
      <w:tr>
        <w:trPr>
          <w:cantSplit/>
        </w:trPr>
        <w:tc>
          <w:tcPr>
            <w:tcW w:type="dxa" w:w="1928"/>
          </w:tcPr>
          <w:p>
            <w:pPr>
              <w:spacing w:after="40" w:line="240" w:lineRule="auto"/>
            </w:pPr>
            <w:r>
              <w:rPr>
                <w:b w:val="0"/>
                <w:i w:val="0"/>
                <w:sz w:val="16"/>
              </w:rPr>
              <w:t>D1 Discovery and solution design</w:t>
            </w:r>
          </w:p>
        </w:tc>
        <w:tc>
          <w:tcPr>
            <w:tcW w:type="dxa" w:w="3061"/>
          </w:tcPr>
          <w:p>
            <w:pPr>
              <w:spacing w:after="40" w:line="240" w:lineRule="auto"/>
            </w:pPr>
            <w:r>
              <w:rPr>
                <w:b w:val="0"/>
                <w:i w:val="0"/>
                <w:sz w:val="16"/>
              </w:rPr>
              <w:t>Workshops, current-state process maps, target operating model and solution design document</w:t>
            </w:r>
          </w:p>
        </w:tc>
        <w:tc>
          <w:tcPr>
            <w:tcW w:type="dxa" w:w="1247"/>
          </w:tcPr>
          <w:p>
            <w:pPr>
              <w:spacing w:after="40" w:line="240" w:lineRule="auto"/>
            </w:pPr>
            <w:r>
              <w:rPr>
                <w:b w:val="0"/>
                <w:i w:val="0"/>
                <w:sz w:val="16"/>
              </w:rPr>
              <w:t>24 April 2026</w:t>
            </w:r>
          </w:p>
        </w:tc>
        <w:tc>
          <w:tcPr>
            <w:tcW w:type="dxa" w:w="907"/>
          </w:tcPr>
          <w:p>
            <w:pPr>
              <w:spacing w:after="40" w:line="240" w:lineRule="auto"/>
            </w:pPr>
            <w:r>
              <w:rPr>
                <w:b w:val="0"/>
                <w:i w:val="0"/>
                <w:sz w:val="16"/>
              </w:rPr>
              <w:t>£25,000</w:t>
            </w:r>
          </w:p>
        </w:tc>
        <w:tc>
          <w:tcPr>
            <w:tcW w:type="dxa" w:w="2268"/>
          </w:tcPr>
          <w:p>
            <w:pPr>
              <w:spacing w:after="40" w:line="240" w:lineRule="auto"/>
            </w:pPr>
            <w:r>
              <w:rPr>
                <w:b w:val="0"/>
                <w:i w:val="0"/>
                <w:sz w:val="16"/>
              </w:rPr>
              <w:t>Signed design document and agreed process maps</w:t>
            </w:r>
          </w:p>
        </w:tc>
      </w:tr>
      <w:tr>
        <w:trPr>
          <w:cantSplit/>
        </w:trPr>
        <w:tc>
          <w:tcPr>
            <w:tcW w:type="dxa" w:w="1928"/>
          </w:tcPr>
          <w:p>
            <w:pPr>
              <w:spacing w:after="40" w:line="240" w:lineRule="auto"/>
            </w:pPr>
            <w:r>
              <w:rPr>
                <w:b w:val="0"/>
                <w:i w:val="0"/>
                <w:sz w:val="16"/>
              </w:rPr>
              <w:t>D2 Configuration and integration</w:t>
            </w:r>
          </w:p>
        </w:tc>
        <w:tc>
          <w:tcPr>
            <w:tcW w:type="dxa" w:w="3061"/>
          </w:tcPr>
          <w:p>
            <w:pPr>
              <w:spacing w:after="40" w:line="240" w:lineRule="auto"/>
            </w:pPr>
            <w:r>
              <w:rPr>
                <w:b w:val="0"/>
                <w:i w:val="0"/>
                <w:sz w:val="16"/>
              </w:rPr>
              <w:t>Configured triage, case management and reporting modules; Meridian and Aldergate Identity integrations in test</w:t>
            </w:r>
          </w:p>
        </w:tc>
        <w:tc>
          <w:tcPr>
            <w:tcW w:type="dxa" w:w="1247"/>
          </w:tcPr>
          <w:p>
            <w:pPr>
              <w:spacing w:after="40" w:line="240" w:lineRule="auto"/>
            </w:pPr>
            <w:r>
              <w:rPr>
                <w:b w:val="0"/>
                <w:i w:val="0"/>
                <w:sz w:val="16"/>
              </w:rPr>
              <w:t>31 July 2026</w:t>
            </w:r>
          </w:p>
        </w:tc>
        <w:tc>
          <w:tcPr>
            <w:tcW w:type="dxa" w:w="907"/>
          </w:tcPr>
          <w:p>
            <w:pPr>
              <w:spacing w:after="40" w:line="240" w:lineRule="auto"/>
            </w:pPr>
            <w:r>
              <w:rPr>
                <w:b w:val="0"/>
                <w:i w:val="0"/>
                <w:sz w:val="16"/>
              </w:rPr>
              <w:t>£65,000</w:t>
            </w:r>
          </w:p>
        </w:tc>
        <w:tc>
          <w:tcPr>
            <w:tcW w:type="dxa" w:w="2268"/>
          </w:tcPr>
          <w:p>
            <w:pPr>
              <w:spacing w:after="40" w:line="240" w:lineRule="auto"/>
            </w:pPr>
            <w:r>
              <w:rPr>
                <w:b w:val="0"/>
                <w:i w:val="0"/>
                <w:sz w:val="16"/>
              </w:rPr>
              <w:t>End-to-end test scripts passed in the test environment</w:t>
            </w:r>
          </w:p>
        </w:tc>
      </w:tr>
      <w:tr>
        <w:trPr>
          <w:cantSplit/>
        </w:trPr>
        <w:tc>
          <w:tcPr>
            <w:tcW w:type="dxa" w:w="1928"/>
          </w:tcPr>
          <w:p>
            <w:pPr>
              <w:spacing w:after="40" w:line="240" w:lineRule="auto"/>
            </w:pPr>
            <w:r>
              <w:rPr>
                <w:b w:val="0"/>
                <w:i w:val="0"/>
                <w:sz w:val="16"/>
              </w:rPr>
              <w:t>D3 Data migration and testing</w:t>
            </w:r>
          </w:p>
        </w:tc>
        <w:tc>
          <w:tcPr>
            <w:tcW w:type="dxa" w:w="3061"/>
          </w:tcPr>
          <w:p>
            <w:pPr>
              <w:spacing w:after="40" w:line="240" w:lineRule="auto"/>
            </w:pPr>
            <w:r>
              <w:rPr>
                <w:b w:val="0"/>
                <w:i w:val="0"/>
                <w:sz w:val="16"/>
              </w:rPr>
              <w:t>Migration of open claims and 24 months of closed claims; user acceptance testing; training</w:t>
            </w:r>
          </w:p>
        </w:tc>
        <w:tc>
          <w:tcPr>
            <w:tcW w:type="dxa" w:w="1247"/>
          </w:tcPr>
          <w:p>
            <w:pPr>
              <w:spacing w:after="40" w:line="240" w:lineRule="auto"/>
            </w:pPr>
            <w:r>
              <w:rPr>
                <w:b w:val="0"/>
                <w:i w:val="0"/>
                <w:sz w:val="16"/>
              </w:rPr>
              <w:t>18 September 2026</w:t>
            </w:r>
          </w:p>
        </w:tc>
        <w:tc>
          <w:tcPr>
            <w:tcW w:type="dxa" w:w="907"/>
          </w:tcPr>
          <w:p>
            <w:pPr>
              <w:spacing w:after="40" w:line="240" w:lineRule="auto"/>
            </w:pPr>
            <w:r>
              <w:rPr>
                <w:b w:val="0"/>
                <w:i w:val="0"/>
                <w:sz w:val="16"/>
              </w:rPr>
              <w:t>£30,000</w:t>
            </w:r>
          </w:p>
        </w:tc>
        <w:tc>
          <w:tcPr>
            <w:tcW w:type="dxa" w:w="2268"/>
          </w:tcPr>
          <w:p>
            <w:pPr>
              <w:spacing w:after="40" w:line="240" w:lineRule="auto"/>
            </w:pPr>
            <w:r>
              <w:rPr>
                <w:b w:val="0"/>
                <w:i w:val="0"/>
                <w:sz w:val="16"/>
              </w:rPr>
              <w:t>Migration reconciliation within 0.5%; UAT sign-off</w:t>
            </w:r>
          </w:p>
        </w:tc>
      </w:tr>
      <w:tr>
        <w:trPr>
          <w:cantSplit/>
        </w:trPr>
        <w:tc>
          <w:tcPr>
            <w:tcW w:type="dxa" w:w="1928"/>
          </w:tcPr>
          <w:p>
            <w:pPr>
              <w:spacing w:after="40" w:line="240" w:lineRule="auto"/>
            </w:pPr>
            <w:r>
              <w:rPr>
                <w:b w:val="0"/>
                <w:i w:val="0"/>
                <w:sz w:val="16"/>
              </w:rPr>
              <w:t>D4 Go-live and hypercare</w:t>
            </w:r>
          </w:p>
        </w:tc>
        <w:tc>
          <w:tcPr>
            <w:tcW w:type="dxa" w:w="3061"/>
          </w:tcPr>
          <w:p>
            <w:pPr>
              <w:spacing w:after="40" w:line="240" w:lineRule="auto"/>
            </w:pPr>
            <w:r>
              <w:rPr>
                <w:b w:val="0"/>
                <w:i w:val="0"/>
                <w:sz w:val="16"/>
              </w:rPr>
              <w:t>Production deployment, 30 days of hypercare and handover to support</w:t>
            </w:r>
          </w:p>
        </w:tc>
        <w:tc>
          <w:tcPr>
            <w:tcW w:type="dxa" w:w="1247"/>
          </w:tcPr>
          <w:p>
            <w:pPr>
              <w:spacing w:after="40" w:line="240" w:lineRule="auto"/>
            </w:pPr>
            <w:r>
              <w:rPr>
                <w:b w:val="0"/>
                <w:i w:val="0"/>
                <w:sz w:val="16"/>
              </w:rPr>
              <w:t>30 September 2026</w:t>
            </w:r>
          </w:p>
        </w:tc>
        <w:tc>
          <w:tcPr>
            <w:tcW w:type="dxa" w:w="907"/>
          </w:tcPr>
          <w:p>
            <w:pPr>
              <w:spacing w:after="40" w:line="240" w:lineRule="auto"/>
            </w:pPr>
            <w:r>
              <w:rPr>
                <w:b w:val="0"/>
                <w:i w:val="0"/>
                <w:sz w:val="16"/>
              </w:rPr>
              <w:t>Included</w:t>
            </w:r>
          </w:p>
        </w:tc>
        <w:tc>
          <w:tcPr>
            <w:tcW w:type="dxa" w:w="2268"/>
          </w:tcPr>
          <w:p>
            <w:pPr>
              <w:spacing w:after="40" w:line="240" w:lineRule="auto"/>
            </w:pPr>
            <w:r>
              <w:rPr>
                <w:b w:val="0"/>
                <w:i w:val="0"/>
                <w:sz w:val="16"/>
              </w:rPr>
              <w:t>Production go-live and hypercare exit report</w:t>
            </w:r>
          </w:p>
        </w:tc>
      </w:tr>
    </w:tbl>
    <w:p>
      <w:pPr>
        <w:spacing w:after="40"/>
      </w:pPr>
    </w:p>
    <w:p>
      <w:r>
        <w:rPr>
          <w:b w:val="0"/>
          <w:i w:val="0"/>
        </w:rPr>
        <w:t>Milestone payments are £25,000 on signature, £65,000 on acceptance of D2 and £30,000 on acceptance of D3. D4 is included in the fixed fee.</w:t>
      </w:r>
    </w:p>
    <w:p>
      <w:pPr>
        <w:spacing w:after="0"/>
      </w:pPr>
      <w:r>
        <w:br w:type="page"/>
      </w:r>
    </w:p>
    <w:p>
      <w:pPr>
        <w:pStyle w:val="Heading1"/>
      </w:pPr>
      <w:r>
        <w:t>Schedule 2 — Key Personnel</w:t>
      </w:r>
    </w:p>
    <w:p>
      <w:r>
        <w:rPr>
          <w:b w:val="0"/>
          <w:i w:val="0"/>
        </w:rPr>
        <w:t>The key personnel for each party are set out below.</w:t>
      </w:r>
    </w:p>
    <w:tbl>
      <w:tblPr>
        <w:tblW w:type="auto" w:w="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60" w:type="dxa"/>
          <w:left w:w="90" w:type="dxa"/>
          <w:bottom w:w="60" w:type="dxa"/>
          <w:right w:w="90" w:type="dxa"/>
        </w:tblCellMar>
        <w:tblLook w:firstColumn="1" w:firstRow="1" w:lastColumn="0" w:lastRow="0" w:noHBand="0" w:noVBand="1" w:val="04A0"/>
      </w:tblPr>
      <w:tblGrid>
        <w:gridCol w:w="2353"/>
        <w:gridCol w:w="2353"/>
        <w:gridCol w:w="2353"/>
        <w:gridCol w:w="2353"/>
      </w:tblGrid>
      <w:tr>
        <w:trPr>
          <w:tblHeader w:val="true"/>
        </w:trPr>
        <w:tc>
          <w:tcPr>
            <w:tcW w:type="dxa" w:w="1361"/>
            <w:shd w:val="clear" w:color="auto" w:fill="1F3864"/>
          </w:tcPr>
          <w:p>
            <w:pPr>
              <w:spacing w:after="0" w:line="240" w:lineRule="auto"/>
            </w:pPr>
            <w:r>
              <w:rPr>
                <w:b/>
                <w:color w:val="FFFFFF"/>
                <w:sz w:val="17"/>
              </w:rPr>
              <w:t>Party</w:t>
            </w:r>
          </w:p>
        </w:tc>
        <w:tc>
          <w:tcPr>
            <w:tcW w:type="dxa" w:w="2154"/>
            <w:shd w:val="clear" w:color="auto" w:fill="1F3864"/>
          </w:tcPr>
          <w:p>
            <w:pPr>
              <w:spacing w:after="0" w:line="240" w:lineRule="auto"/>
            </w:pPr>
            <w:r>
              <w:rPr>
                <w:b/>
                <w:color w:val="FFFFFF"/>
                <w:sz w:val="17"/>
              </w:rPr>
              <w:t>Name</w:t>
            </w:r>
          </w:p>
        </w:tc>
        <w:tc>
          <w:tcPr>
            <w:tcW w:type="dxa" w:w="2608"/>
            <w:shd w:val="clear" w:color="auto" w:fill="1F3864"/>
          </w:tcPr>
          <w:p>
            <w:pPr>
              <w:spacing w:after="0" w:line="240" w:lineRule="auto"/>
            </w:pPr>
            <w:r>
              <w:rPr>
                <w:b/>
                <w:color w:val="FFFFFF"/>
                <w:sz w:val="17"/>
              </w:rPr>
              <w:t>Role</w:t>
            </w:r>
          </w:p>
        </w:tc>
        <w:tc>
          <w:tcPr>
            <w:tcW w:type="dxa" w:w="3288"/>
            <w:shd w:val="clear" w:color="auto" w:fill="1F3864"/>
          </w:tcPr>
          <w:p>
            <w:pPr>
              <w:spacing w:after="0" w:line="240" w:lineRule="auto"/>
            </w:pPr>
            <w:r>
              <w:rPr>
                <w:b/>
                <w:color w:val="FFFFFF"/>
                <w:sz w:val="17"/>
              </w:rPr>
              <w:t>Involvement</w:t>
            </w:r>
          </w:p>
        </w:tc>
      </w:tr>
      <w:tr>
        <w:trPr>
          <w:cantSplit/>
        </w:trPr>
        <w:tc>
          <w:tcPr>
            <w:tcW w:type="dxa" w:w="1361"/>
          </w:tcPr>
          <w:p>
            <w:pPr>
              <w:spacing w:after="40" w:line="240" w:lineRule="auto"/>
            </w:pPr>
            <w:r>
              <w:rPr>
                <w:b w:val="0"/>
                <w:i w:val="0"/>
                <w:sz w:val="17"/>
              </w:rPr>
              <w:t>Kestrel</w:t>
            </w:r>
          </w:p>
        </w:tc>
        <w:tc>
          <w:tcPr>
            <w:tcW w:type="dxa" w:w="2154"/>
          </w:tcPr>
          <w:p>
            <w:pPr>
              <w:spacing w:after="40" w:line="240" w:lineRule="auto"/>
            </w:pPr>
            <w:r>
              <w:rPr>
                <w:b w:val="0"/>
                <w:i w:val="0"/>
                <w:sz w:val="17"/>
              </w:rPr>
              <w:t>Margaret Ellison</w:t>
            </w:r>
          </w:p>
        </w:tc>
        <w:tc>
          <w:tcPr>
            <w:tcW w:type="dxa" w:w="2608"/>
          </w:tcPr>
          <w:p>
            <w:pPr>
              <w:spacing w:after="40" w:line="240" w:lineRule="auto"/>
            </w:pPr>
            <w:r>
              <w:rPr>
                <w:b w:val="0"/>
                <w:i w:val="0"/>
                <w:sz w:val="17"/>
              </w:rPr>
              <w:t>Programme Director</w:t>
            </w:r>
          </w:p>
        </w:tc>
        <w:tc>
          <w:tcPr>
            <w:tcW w:type="dxa" w:w="3288"/>
          </w:tcPr>
          <w:p>
            <w:pPr>
              <w:spacing w:after="40" w:line="240" w:lineRule="auto"/>
            </w:pPr>
            <w:r>
              <w:rPr>
                <w:b w:val="0"/>
                <w:i w:val="0"/>
                <w:sz w:val="17"/>
              </w:rPr>
              <w:t>Steering committee chair; escalation point</w:t>
            </w:r>
          </w:p>
        </w:tc>
      </w:tr>
      <w:tr>
        <w:trPr>
          <w:cantSplit/>
        </w:trPr>
        <w:tc>
          <w:tcPr>
            <w:tcW w:type="dxa" w:w="1361"/>
          </w:tcPr>
          <w:p>
            <w:pPr>
              <w:spacing w:after="40" w:line="240" w:lineRule="auto"/>
            </w:pPr>
            <w:r>
              <w:rPr>
                <w:b w:val="0"/>
                <w:i w:val="0"/>
                <w:sz w:val="17"/>
              </w:rPr>
              <w:t>Kestrel</w:t>
            </w:r>
          </w:p>
        </w:tc>
        <w:tc>
          <w:tcPr>
            <w:tcW w:type="dxa" w:w="2154"/>
          </w:tcPr>
          <w:p>
            <w:pPr>
              <w:spacing w:after="40" w:line="240" w:lineRule="auto"/>
            </w:pPr>
            <w:r>
              <w:rPr>
                <w:b w:val="0"/>
                <w:i w:val="0"/>
                <w:sz w:val="17"/>
              </w:rPr>
              <w:t>Dev Patel</w:t>
            </w:r>
          </w:p>
        </w:tc>
        <w:tc>
          <w:tcPr>
            <w:tcW w:type="dxa" w:w="2608"/>
          </w:tcPr>
          <w:p>
            <w:pPr>
              <w:spacing w:after="40" w:line="240" w:lineRule="auto"/>
            </w:pPr>
            <w:r>
              <w:rPr>
                <w:b w:val="0"/>
                <w:i w:val="0"/>
                <w:sz w:val="17"/>
              </w:rPr>
              <w:t>Head of Claims Operations</w:t>
            </w:r>
          </w:p>
        </w:tc>
        <w:tc>
          <w:tcPr>
            <w:tcW w:type="dxa" w:w="3288"/>
          </w:tcPr>
          <w:p>
            <w:pPr>
              <w:spacing w:after="40" w:line="240" w:lineRule="auto"/>
            </w:pPr>
            <w:r>
              <w:rPr>
                <w:b w:val="0"/>
                <w:i w:val="0"/>
                <w:sz w:val="17"/>
              </w:rPr>
              <w:t>Business owner; acceptance approver</w:t>
            </w:r>
          </w:p>
        </w:tc>
      </w:tr>
      <w:tr>
        <w:trPr>
          <w:cantSplit/>
        </w:trPr>
        <w:tc>
          <w:tcPr>
            <w:tcW w:type="dxa" w:w="1361"/>
          </w:tcPr>
          <w:p>
            <w:pPr>
              <w:spacing w:after="40" w:line="240" w:lineRule="auto"/>
            </w:pPr>
            <w:r>
              <w:rPr>
                <w:b w:val="0"/>
                <w:i w:val="0"/>
                <w:sz w:val="17"/>
              </w:rPr>
              <w:t>Kestrel</w:t>
            </w:r>
          </w:p>
        </w:tc>
        <w:tc>
          <w:tcPr>
            <w:tcW w:type="dxa" w:w="2154"/>
          </w:tcPr>
          <w:p>
            <w:pPr>
              <w:spacing w:after="40" w:line="240" w:lineRule="auto"/>
            </w:pPr>
            <w:r>
              <w:rPr>
                <w:b w:val="0"/>
                <w:i w:val="0"/>
                <w:sz w:val="17"/>
              </w:rPr>
              <w:t>Sian Roberts</w:t>
            </w:r>
          </w:p>
        </w:tc>
        <w:tc>
          <w:tcPr>
            <w:tcW w:type="dxa" w:w="2608"/>
          </w:tcPr>
          <w:p>
            <w:pPr>
              <w:spacing w:after="40" w:line="240" w:lineRule="auto"/>
            </w:pPr>
            <w:r>
              <w:rPr>
                <w:b w:val="0"/>
                <w:i w:val="0"/>
                <w:sz w:val="17"/>
              </w:rPr>
              <w:t>Change Advisory Board Lead</w:t>
            </w:r>
          </w:p>
        </w:tc>
        <w:tc>
          <w:tcPr>
            <w:tcW w:type="dxa" w:w="3288"/>
          </w:tcPr>
          <w:p>
            <w:pPr>
              <w:spacing w:after="40" w:line="240" w:lineRule="auto"/>
            </w:pPr>
            <w:r>
              <w:rPr>
                <w:b w:val="0"/>
                <w:i w:val="0"/>
                <w:sz w:val="17"/>
              </w:rPr>
              <w:t>Release governance and acceptance scheduling</w:t>
            </w:r>
          </w:p>
        </w:tc>
      </w:tr>
      <w:tr>
        <w:trPr>
          <w:cantSplit/>
        </w:trPr>
        <w:tc>
          <w:tcPr>
            <w:tcW w:type="dxa" w:w="1361"/>
          </w:tcPr>
          <w:p>
            <w:pPr>
              <w:spacing w:after="40" w:line="240" w:lineRule="auto"/>
            </w:pPr>
            <w:r>
              <w:rPr>
                <w:b w:val="0"/>
                <w:i w:val="0"/>
                <w:sz w:val="17"/>
              </w:rPr>
              <w:t>Bramber</w:t>
            </w:r>
          </w:p>
        </w:tc>
        <w:tc>
          <w:tcPr>
            <w:tcW w:type="dxa" w:w="2154"/>
          </w:tcPr>
          <w:p>
            <w:pPr>
              <w:spacing w:after="40" w:line="240" w:lineRule="auto"/>
            </w:pPr>
            <w:r>
              <w:rPr>
                <w:b w:val="0"/>
                <w:i w:val="0"/>
                <w:sz w:val="17"/>
              </w:rPr>
              <w:t>Owen Hartley</w:t>
            </w:r>
          </w:p>
        </w:tc>
        <w:tc>
          <w:tcPr>
            <w:tcW w:type="dxa" w:w="2608"/>
          </w:tcPr>
          <w:p>
            <w:pPr>
              <w:spacing w:after="40" w:line="240" w:lineRule="auto"/>
            </w:pPr>
            <w:r>
              <w:rPr>
                <w:b w:val="0"/>
                <w:i w:val="0"/>
                <w:sz w:val="17"/>
              </w:rPr>
              <w:t>Engagement Director</w:t>
            </w:r>
          </w:p>
        </w:tc>
        <w:tc>
          <w:tcPr>
            <w:tcW w:type="dxa" w:w="3288"/>
          </w:tcPr>
          <w:p>
            <w:pPr>
              <w:spacing w:after="40" w:line="240" w:lineRule="auto"/>
            </w:pPr>
            <w:r>
              <w:rPr>
                <w:b w:val="0"/>
                <w:i w:val="0"/>
                <w:sz w:val="17"/>
              </w:rPr>
              <w:t>Commercial owner; steering committee</w:t>
            </w:r>
          </w:p>
        </w:tc>
      </w:tr>
      <w:tr>
        <w:trPr>
          <w:cantSplit/>
        </w:trPr>
        <w:tc>
          <w:tcPr>
            <w:tcW w:type="dxa" w:w="1361"/>
          </w:tcPr>
          <w:p>
            <w:pPr>
              <w:spacing w:after="40" w:line="240" w:lineRule="auto"/>
            </w:pPr>
            <w:r>
              <w:rPr>
                <w:b w:val="0"/>
                <w:i w:val="0"/>
                <w:sz w:val="17"/>
              </w:rPr>
              <w:t>Bramber</w:t>
            </w:r>
          </w:p>
        </w:tc>
        <w:tc>
          <w:tcPr>
            <w:tcW w:type="dxa" w:w="2154"/>
          </w:tcPr>
          <w:p>
            <w:pPr>
              <w:spacing w:after="40" w:line="240" w:lineRule="auto"/>
            </w:pPr>
            <w:r>
              <w:rPr>
                <w:b w:val="0"/>
                <w:i w:val="0"/>
                <w:sz w:val="17"/>
              </w:rPr>
              <w:t>Meera Shah</w:t>
            </w:r>
          </w:p>
        </w:tc>
        <w:tc>
          <w:tcPr>
            <w:tcW w:type="dxa" w:w="2608"/>
          </w:tcPr>
          <w:p>
            <w:pPr>
              <w:spacing w:after="40" w:line="240" w:lineRule="auto"/>
            </w:pPr>
            <w:r>
              <w:rPr>
                <w:b w:val="0"/>
                <w:i w:val="0"/>
                <w:sz w:val="17"/>
              </w:rPr>
              <w:t>Delivery Lead</w:t>
            </w:r>
          </w:p>
        </w:tc>
        <w:tc>
          <w:tcPr>
            <w:tcW w:type="dxa" w:w="3288"/>
          </w:tcPr>
          <w:p>
            <w:pPr>
              <w:spacing w:after="40" w:line="240" w:lineRule="auto"/>
            </w:pPr>
            <w:r>
              <w:rPr>
                <w:b w:val="0"/>
                <w:i w:val="0"/>
                <w:sz w:val="17"/>
              </w:rPr>
              <w:t>Day-to-day delivery and project plan</w:t>
            </w:r>
          </w:p>
        </w:tc>
      </w:tr>
      <w:tr>
        <w:trPr>
          <w:cantSplit/>
        </w:trPr>
        <w:tc>
          <w:tcPr>
            <w:tcW w:type="dxa" w:w="1361"/>
          </w:tcPr>
          <w:p>
            <w:pPr>
              <w:spacing w:after="40" w:line="240" w:lineRule="auto"/>
            </w:pPr>
            <w:r>
              <w:rPr>
                <w:b w:val="0"/>
                <w:i w:val="0"/>
                <w:sz w:val="17"/>
              </w:rPr>
              <w:t>Bramber</w:t>
            </w:r>
          </w:p>
        </w:tc>
        <w:tc>
          <w:tcPr>
            <w:tcW w:type="dxa" w:w="2154"/>
          </w:tcPr>
          <w:p>
            <w:pPr>
              <w:spacing w:after="40" w:line="240" w:lineRule="auto"/>
            </w:pPr>
            <w:r>
              <w:rPr>
                <w:b w:val="0"/>
                <w:i w:val="0"/>
                <w:sz w:val="17"/>
              </w:rPr>
              <w:t>Callum Reid</w:t>
            </w:r>
          </w:p>
        </w:tc>
        <w:tc>
          <w:tcPr>
            <w:tcW w:type="dxa" w:w="2608"/>
          </w:tcPr>
          <w:p>
            <w:pPr>
              <w:spacing w:after="40" w:line="240" w:lineRule="auto"/>
            </w:pPr>
            <w:r>
              <w:rPr>
                <w:b w:val="0"/>
                <w:i w:val="0"/>
                <w:sz w:val="17"/>
              </w:rPr>
              <w:t>Solution Architect</w:t>
            </w:r>
          </w:p>
        </w:tc>
        <w:tc>
          <w:tcPr>
            <w:tcW w:type="dxa" w:w="3288"/>
          </w:tcPr>
          <w:p>
            <w:pPr>
              <w:spacing w:after="40" w:line="240" w:lineRule="auto"/>
            </w:pPr>
            <w:r>
              <w:rPr>
                <w:b w:val="0"/>
                <w:i w:val="0"/>
                <w:sz w:val="17"/>
              </w:rPr>
              <w:t>Design authority and integration</w:t>
            </w:r>
          </w:p>
        </w:tc>
      </w:tr>
    </w:tbl>
    <w:p>
      <w:pPr>
        <w:spacing w:after="40"/>
      </w:pPr>
    </w:p>
    <w:p>
      <w:pPr>
        <w:spacing w:after="0"/>
      </w:pPr>
      <w:r>
        <w:br w:type="page"/>
      </w:r>
    </w:p>
    <w:p>
      <w:r>
        <w:rPr>
          <w:b/>
          <w:i w:val="0"/>
        </w:rPr>
        <w:t>Agreed and accepted by the parties:</w:t>
      </w:r>
    </w:p>
    <w:p>
      <w:pPr>
        <w:spacing w:after="80"/>
      </w:pPr>
    </w:p>
    <w:tbl>
      <w:tblPr>
        <w:tblW w:type="auto" w:w="0"/>
        <w:tblLayout w:type="fixed"/>
        <w:tblCellMar>
          <w:top w:w="40" w:type="dxa"/>
          <w:left w:w="0" w:type="dxa"/>
          <w:bottom w:w="40" w:type="dxa"/>
          <w:right w:w="120" w:type="dxa"/>
        </w:tblCellMar>
        <w:tblLook w:firstColumn="1" w:firstRow="1" w:lastColumn="0" w:lastRow="0" w:noHBand="0" w:noVBand="1" w:val="04A0"/>
      </w:tblPr>
      <w:tblGrid>
        <w:gridCol w:w="4706"/>
        <w:gridCol w:w="4706"/>
      </w:tblGrid>
      <w:tr>
        <w:tc>
          <w:tcPr>
            <w:tcW w:type="dxa" w:w="4649"/>
          </w:tcPr>
          <w:p>
            <w:pPr>
              <w:spacing w:after="400"/>
            </w:pPr>
            <w:r>
              <w:rPr>
                <w:rFonts w:ascii="Times New Roman" w:hAnsi="Times New Roman"/>
                <w:b/>
                <w:sz w:val="20"/>
              </w:rPr>
              <w:t>Kestrel Assurance Group plc</w:t>
            </w:r>
          </w:p>
          <w:p>
            <w:pPr>
              <w:spacing w:after="160"/>
            </w:pPr>
            <w:r>
              <w:rPr>
                <w:rFonts w:ascii="Times New Roman" w:hAnsi="Times New Roman"/>
                <w:sz w:val="18"/>
              </w:rPr>
              <w:t xml:space="preserve">Signature: </w:t>
            </w:r>
            <w:r>
              <w:rPr>
                <w:rFonts w:ascii="Times New Roman" w:hAnsi="Times New Roman"/>
                <w:sz w:val="18"/>
              </w:rPr>
              <w:t>______________________________</w:t>
            </w:r>
          </w:p>
          <w:p>
            <w:pPr>
              <w:spacing w:after="160"/>
            </w:pPr>
            <w:r>
              <w:rPr>
                <w:rFonts w:ascii="Times New Roman" w:hAnsi="Times New Roman"/>
                <w:sz w:val="18"/>
              </w:rPr>
              <w:t xml:space="preserve">Name: </w:t>
            </w:r>
            <w:r>
              <w:rPr>
                <w:rFonts w:ascii="Times New Roman" w:hAnsi="Times New Roman"/>
                <w:sz w:val="18"/>
              </w:rPr>
              <w:t>Duncan Aird</w:t>
            </w:r>
          </w:p>
          <w:p>
            <w:pPr>
              <w:spacing w:after="160"/>
            </w:pPr>
            <w:r>
              <w:rPr>
                <w:rFonts w:ascii="Times New Roman" w:hAnsi="Times New Roman"/>
                <w:sz w:val="18"/>
              </w:rPr>
              <w:t xml:space="preserve">Title: </w:t>
            </w:r>
            <w:r>
              <w:rPr>
                <w:rFonts w:ascii="Times New Roman" w:hAnsi="Times New Roman"/>
                <w:sz w:val="18"/>
              </w:rPr>
              <w:t>Head of Procurement</w:t>
            </w:r>
          </w:p>
          <w:p>
            <w:pPr>
              <w:spacing w:after="160"/>
            </w:pPr>
            <w:r>
              <w:rPr>
                <w:rFonts w:ascii="Times New Roman" w:hAnsi="Times New Roman"/>
                <w:sz w:val="18"/>
              </w:rPr>
              <w:t xml:space="preserve">Date: </w:t>
            </w:r>
            <w:r>
              <w:rPr>
                <w:rFonts w:ascii="Times New Roman" w:hAnsi="Times New Roman"/>
                <w:sz w:val="18"/>
              </w:rPr>
              <w:t>__________________</w:t>
            </w:r>
          </w:p>
        </w:tc>
        <w:tc>
          <w:tcPr>
            <w:tcW w:type="dxa" w:w="4649"/>
          </w:tcPr>
          <w:p>
            <w:pPr>
              <w:spacing w:after="400"/>
            </w:pPr>
            <w:r>
              <w:rPr>
                <w:rFonts w:ascii="Times New Roman" w:hAnsi="Times New Roman"/>
                <w:b/>
                <w:sz w:val="20"/>
              </w:rPr>
              <w:t>Bramber Software Limited</w:t>
            </w:r>
          </w:p>
          <w:p>
            <w:pPr>
              <w:spacing w:after="160"/>
            </w:pPr>
            <w:r>
              <w:rPr>
                <w:rFonts w:ascii="Times New Roman" w:hAnsi="Times New Roman"/>
                <w:sz w:val="18"/>
              </w:rPr>
              <w:t xml:space="preserve">Signature: </w:t>
            </w:r>
            <w:r>
              <w:rPr>
                <w:rFonts w:ascii="Times New Roman" w:hAnsi="Times New Roman"/>
                <w:sz w:val="18"/>
              </w:rPr>
              <w:t>______________________________</w:t>
            </w:r>
          </w:p>
          <w:p>
            <w:pPr>
              <w:spacing w:after="160"/>
            </w:pPr>
            <w:r>
              <w:rPr>
                <w:rFonts w:ascii="Times New Roman" w:hAnsi="Times New Roman"/>
                <w:sz w:val="18"/>
              </w:rPr>
              <w:t xml:space="preserve">Name: </w:t>
            </w:r>
            <w:r>
              <w:rPr>
                <w:rFonts w:ascii="Times New Roman" w:hAnsi="Times New Roman"/>
                <w:sz w:val="18"/>
              </w:rPr>
              <w:t>Marcus Feld</w:t>
            </w:r>
          </w:p>
          <w:p>
            <w:pPr>
              <w:spacing w:after="160"/>
            </w:pPr>
            <w:r>
              <w:rPr>
                <w:rFonts w:ascii="Times New Roman" w:hAnsi="Times New Roman"/>
                <w:sz w:val="18"/>
              </w:rPr>
              <w:t xml:space="preserve">Title: </w:t>
            </w:r>
            <w:r>
              <w:rPr>
                <w:rFonts w:ascii="Times New Roman" w:hAnsi="Times New Roman"/>
                <w:sz w:val="18"/>
              </w:rPr>
              <w:t>Chief Financial Officer</w:t>
            </w:r>
          </w:p>
          <w:p>
            <w:pPr>
              <w:spacing w:after="160"/>
            </w:pPr>
            <w:r>
              <w:rPr>
                <w:rFonts w:ascii="Times New Roman" w:hAnsi="Times New Roman"/>
                <w:sz w:val="18"/>
              </w:rPr>
              <w:t xml:space="preserve">Date: </w:t>
            </w:r>
            <w:r>
              <w:rPr>
                <w:rFonts w:ascii="Times New Roman" w:hAnsi="Times New Roman"/>
                <w:sz w:val="18"/>
              </w:rPr>
              <w:t>__________________</w:t>
            </w:r>
          </w:p>
        </w:tc>
      </w:tr>
    </w:tbl>
    <w:sectPr w:rsidR="00FC693F" w:rsidRPr="0006063C" w:rsidSect="00034616">
      <w:headerReference w:type="default" r:id="rId9"/>
      <w:footerReference w:type="default" r:id="rId10"/>
      <w:pgSz w:w="11906" w:h="16838"/>
      <w:pgMar w:top="1304" w:right="1247" w:bottom="1191"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
      <w:rPr>
        <w:color w:val="595959"/>
        <w:sz w:val="16"/>
      </w:rPr>
      <w:t xml:space="preserve">Kestrel Assurance Group plc / Bramber Software Limited    </w:t>
    </w:r>
    <w:r>
      <w:rPr>
        <w:color w:val="595959"/>
        <w:sz w:val="16"/>
      </w:rPr>
      <w:t xml:space="preserve">Page </w:t>
    </w:r>
    <w:fldSimple w:instr=" PAGE ">
      <w:r>
        <w:t>1</w:t>
      </w:r>
    </w:fldSimple>
    <w:r>
      <w:rPr>
        <w:color w:val="595959"/>
        <w:sz w:val="16"/>
      </w:rPr>
      <w:t xml:space="preserve"> of </w:t>
    </w:r>
    <w:fldSimple w:instr=" NUMPAGES ">
      <w:r>
        <w:t>1</w:t>
      </w:r>
    </w:fldSimple>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01">
    <w:p>
      <w:pPr>
        <w:spacing w:after="0" w:line="240" w:lineRule="auto"/>
      </w:pPr>
      <w:r>
        <w:rPr>
          <w:vertAlign w:val="superscript"/>
          <w:sz w:val="16"/>
        </w:rPr>
        <w:footnoteRef/>
      </w:r>
      <w:r>
        <w:rPr>
          <w:sz w:val="16"/>
        </w:rPr>
        <w:t xml:space="preserve"> Kestrel's Change Advisory Board meets fortnightly and may defer acceptance where it considers that operational readiness has not been demonstrated. Any deferral by the Change Advisory Board extends the acceptance period in Clause 5.1 by the length of the deferral.</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FBFBF"/>
      </w:pBdr>
      <w:tabs>
        <w:tab w:pos="9411" w:val="right"/>
      </w:tabs>
      <w:spacing w:after="0"/>
    </w:pPr>
    <w:r/>
    <w:r>
      <w:rPr>
        <w:color w:val="595959"/>
        <w:sz w:val="16"/>
      </w:rPr>
      <w:t>CONFIDENTIAL – Draft v4</w:t>
    </w:r>
    <w:r>
      <w:rPr>
        <w:color w:val="595959"/>
        <w:sz w:val="16"/>
      </w:rPr>
      <w:tab/>
      <w:t>SOW No. 1 — Claims Triage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jc w:val="both"/>
    </w:pPr>
    <w:rPr>
      <w:rFonts w:ascii="Times New Roman" w:hAnsi="Times New Roman" w:cs="Times New Roman" w:eastAsia="Times New Roman"/>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40" w:lineRule="auto"/>
      <w:outlineLvl w:val="0"/>
    </w:pPr>
    <w:rPr>
      <w:rFonts w:asciiTheme="majorHAnsi" w:eastAsiaTheme="majorEastAsia" w:hAnsiTheme="majorHAnsi" w:cstheme="majorBidi" w:ascii="Times New Roman" w:hAnsi="Times New Roman" w:cs="Times New Roman" w:eastAsia="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Times New Roman" w:hAnsi="Times New Roman" w:cs="Times New Roman" w:eastAsia="Times New Roman"/>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Times New Roman" w:hAnsi="Times New Roman" w:cs="Times New Roman" w:eastAsia="Times New Roman"/>
      <w:b/>
      <w:bCs/>
      <w:color w:val="2E5C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900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subject>Kestrel Assurance Group plc</dc:subject>
  <dc:creator>Duncan Aird</dc:creator>
  <cp:keywords/>
  <dc:description/>
  <cp:lastModifiedBy>Duncan Aird</cp:lastModifiedBy>
  <cp:revision>1</cp:revision>
  <dcterms:created xsi:type="dcterms:W3CDTF">2026-02-20T11:00:00Z</dcterms:created>
  <dcterms:modified xsi:type="dcterms:W3CDTF">2026-02-20T11:00:00Z</dcterms:modified>
  <cp:category>Commercial legal</cp:category>
</cp:coreProperties>
</file>