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3864"/>
          <w:sz w:val="34"/>
        </w:rPr>
        <w:t>DATA PROCESSING AGREEMENT</w:t>
      </w:r>
    </w:p>
    <w:p>
      <w:pPr>
        <w:spacing w:after="40"/>
        <w:jc w:val="center"/>
      </w:pPr>
      <w:r>
        <w:rPr>
          <w:b w:val="0"/>
          <w:sz w:val="22"/>
        </w:rPr>
        <w:t>between</w:t>
      </w:r>
    </w:p>
    <w:p>
      <w:pPr>
        <w:spacing w:after="160"/>
        <w:jc w:val="center"/>
      </w:pPr>
      <w:r>
        <w:rPr>
          <w:b/>
          <w:color w:val="1F3864"/>
          <w:sz w:val="34"/>
        </w:rPr>
        <w:t>VANTAGE HEALTH GMBH</w:t>
      </w:r>
    </w:p>
    <w:p>
      <w:pPr>
        <w:spacing w:after="40"/>
        <w:jc w:val="center"/>
      </w:pPr>
      <w:r>
        <w:rPr>
          <w:b w:val="0"/>
          <w:sz w:val="22"/>
        </w:rPr>
        <w:t>and</w:t>
      </w:r>
    </w:p>
    <w:p>
      <w:pPr>
        <w:spacing w:after="160"/>
        <w:jc w:val="center"/>
      </w:pPr>
      <w:r>
        <w:rPr>
          <w:b/>
          <w:color w:val="1F3864"/>
          <w:sz w:val="34"/>
        </w:rPr>
        <w:t>BRAMBER SOFTWARE LIMITED</w:t>
      </w:r>
    </w:p>
    <w:p>
      <w:pPr>
        <w:spacing w:after="40"/>
        <w:jc w:val="center"/>
      </w:pPr>
      <w:r>
        <w:rPr>
          <w:b w:val="0"/>
          <w:sz w:val="22"/>
        </w:rPr>
        <w:t>Dated: 3 March 2026</w:t>
      </w:r>
    </w:p>
    <w:p>
      <w:pPr>
        <w:spacing w:after="200"/>
      </w:pPr>
    </w:p>
    <w:p>
      <w:r>
        <w:rPr>
          <w:b w:val="0"/>
          <w:i w:val="0"/>
        </w:rPr>
        <w:t>This Data Processing Agreement is made on 3 March 2026 between:</w:t>
      </w:r>
    </w:p>
    <w:p>
      <w:pPr>
        <w:ind w:left="340"/>
      </w:pPr>
      <w:r>
        <w:rPr>
          <w:b/>
          <w:i w:val="0"/>
        </w:rPr>
        <w:t>(1) VANTAGE HEALTH GMBH</w:t>
      </w:r>
      <w:r>
        <w:rPr>
          <w:b w:val="0"/>
          <w:i w:val="0"/>
        </w:rPr>
        <w:t>, a company incorporated in Germany with registration number HRB 214887, whose registered office is at Ridlerstraße 31, 80339 München, Germany (the “</w:t>
      </w:r>
      <w:r>
        <w:rPr>
          <w:b/>
          <w:i w:val="0"/>
        </w:rPr>
        <w:t>Controller</w:t>
      </w:r>
      <w:r>
        <w:rPr>
          <w:b w:val="0"/>
          <w:i w:val="0"/>
        </w:rPr>
        <w:t>”); and</w:t>
      </w:r>
    </w:p>
    <w:p>
      <w:pPr>
        <w:ind w:left="340"/>
      </w:pPr>
      <w:r>
        <w:rPr>
          <w:b/>
          <w:i w:val="0"/>
        </w:rPr>
        <w:t>(2) BRAMBER SOFTWARE LIMITED</w:t>
      </w:r>
      <w:r>
        <w:rPr>
          <w:b w:val="0"/>
          <w:i w:val="0"/>
        </w:rPr>
        <w:t>, a private limited company incorporated in England and Wales with company number 08841267, whose registered office is at The Glass Works, 12 Feeder Road, Bristol BS2 0SB (the “</w:t>
      </w:r>
      <w:r>
        <w:rPr>
          <w:b/>
          <w:i w:val="0"/>
        </w:rPr>
        <w:t>Processor</w:t>
      </w:r>
      <w:r>
        <w:rPr>
          <w:b w:val="0"/>
          <w:i w:val="0"/>
        </w:rPr>
        <w:t>”).</w:t>
      </w:r>
    </w:p>
    <w:p>
      <w:pPr>
        <w:pStyle w:val="Heading2"/>
      </w:pPr>
      <w:r>
        <w:t>Background</w:t>
      </w:r>
    </w:p>
    <w:p>
      <w:r>
        <w:rPr>
          <w:b w:val="0"/>
          <w:i w:val="0"/>
        </w:rPr>
        <w:t>(A) The Controller provides health insurance and care management services in Germany and uses the Processor's Bramber Flow platform for claims triage and case management under a master services agreement dated 14 January 2026 (the “</w:t>
      </w:r>
      <w:r>
        <w:rPr>
          <w:b/>
          <w:i w:val="0"/>
        </w:rPr>
        <w:t>MSA</w:t>
      </w:r>
      <w:r>
        <w:rPr>
          <w:b w:val="0"/>
          <w:i w:val="0"/>
        </w:rPr>
        <w:t>”).</w:t>
      </w:r>
    </w:p>
    <w:p>
      <w:r>
        <w:rPr>
          <w:b w:val="0"/>
          <w:i w:val="0"/>
        </w:rPr>
        <w:t>(B) The processing of Personal Data under the MSA is subject to the requirements of Article 28 of the EU GDPR and, where applicable, the UK GDPR.</w:t>
      </w:r>
    </w:p>
    <w:p>
      <w:r>
        <w:rPr>
          <w:b w:val="0"/>
          <w:i w:val="0"/>
        </w:rPr>
        <w:t>(C) The parties wish to set out the terms on which the Processor processes Personal Data on behalf of the Controller.</w:t>
      </w:r>
    </w:p>
    <w:p>
      <w:r>
        <w:rPr>
          <w:b w:val="0"/>
          <w:i w:val="0"/>
        </w:rPr>
        <w:t>(D) The Controller has determined that the processing requires a data protection impact assessment under Article 35 of the EU GDPR. The Processor has provided the information in Schedules 1 and 3 for that assessment.</w:t>
      </w:r>
    </w:p>
    <w:p>
      <w:r>
        <w:rPr>
          <w:b w:val="0"/>
          <w:i w:val="0"/>
        </w:rPr>
        <w:t>The parties agree as follows:</w:t>
      </w:r>
    </w:p>
    <w:p>
      <w:pPr>
        <w:spacing w:after="0"/>
      </w:pPr>
      <w:r>
        <w:br w:type="page"/>
      </w:r>
    </w:p>
    <w:p>
      <w:pPr>
        <w:pStyle w:val="Heading1"/>
        <w:numPr>
          <w:ilvl w:val="0"/>
          <w:numId w:val="70"/>
        </w:numPr>
      </w:pPr>
      <w:r>
        <w:rPr>
          <w:b w:val="0"/>
          <w:i w:val="0"/>
        </w:rPr>
        <w:t>Definitions and interpretation</w:t>
      </w:r>
    </w:p>
    <w:p>
      <w:pPr>
        <w:numPr>
          <w:ilvl w:val="1"/>
          <w:numId w:val="70"/>
        </w:numPr>
        <w:spacing w:after="120"/>
      </w:pPr>
      <w:r>
        <w:rPr>
          <w:b w:val="0"/>
          <w:i w:val="0"/>
        </w:rPr>
        <w:t>In this Agreement, the following terms have the following meanings:</w:t>
      </w:r>
    </w:p>
    <w:p>
      <w:pPr>
        <w:spacing w:after="80"/>
        <w:ind w:left="510" w:hanging="510"/>
      </w:pPr>
      <w:r>
        <w:rPr>
          <w:b/>
        </w:rPr>
        <w:t>Affiliate</w:t>
      </w:r>
      <w:r>
        <w:t xml:space="preserve"> means </w:t>
      </w:r>
      <w:r>
        <w:rPr>
          <w:b w:val="0"/>
          <w:i w:val="0"/>
        </w:rPr>
        <w:t>any entity that controls, is controlled by, or is under common control with a party, where control means the ownership of more than fifty per cent (50%) of the voting shares or the ability to direct management.</w:t>
      </w:r>
    </w:p>
    <w:p>
      <w:pPr>
        <w:spacing w:after="80"/>
        <w:ind w:left="510" w:hanging="510"/>
      </w:pPr>
      <w:r>
        <w:rPr>
          <w:b/>
        </w:rPr>
        <w:t>Agreement</w:t>
      </w:r>
      <w:r>
        <w:t xml:space="preserve"> means </w:t>
      </w:r>
      <w:r>
        <w:rPr>
          <w:b w:val="0"/>
          <w:i w:val="0"/>
        </w:rPr>
        <w:t>this Data Processing Agreement, including its Schedules.</w:t>
      </w:r>
    </w:p>
    <w:p>
      <w:pPr>
        <w:spacing w:after="80"/>
        <w:ind w:left="510" w:hanging="510"/>
      </w:pPr>
      <w:r>
        <w:rPr>
          <w:b/>
        </w:rPr>
        <w:t>Business Day</w:t>
      </w:r>
      <w:r>
        <w:t xml:space="preserve"> means </w:t>
      </w:r>
      <w:r>
        <w:rPr>
          <w:b w:val="0"/>
          <w:i w:val="0"/>
        </w:rPr>
        <w:t>a day other than a Saturday, Sunday or public holiday in England and Wales.</w:t>
      </w:r>
    </w:p>
    <w:p>
      <w:pPr>
        <w:spacing w:after="80"/>
        <w:ind w:left="510" w:hanging="510"/>
      </w:pPr>
      <w:r>
        <w:rPr>
          <w:b/>
        </w:rPr>
        <w:t>Data Subject</w:t>
      </w:r>
      <w:r>
        <w:t xml:space="preserve"> means </w:t>
      </w:r>
      <w:r>
        <w:rPr>
          <w:b w:val="0"/>
          <w:i w:val="0"/>
        </w:rPr>
        <w:t>an identified or identifiable natural person to whom Personal Data relates.</w:t>
      </w:r>
    </w:p>
    <w:p>
      <w:pPr>
        <w:spacing w:after="80"/>
        <w:ind w:left="510" w:hanging="510"/>
      </w:pPr>
      <w:r>
        <w:rPr>
          <w:b/>
        </w:rPr>
        <w:t>EEA</w:t>
      </w:r>
      <w:r>
        <w:t xml:space="preserve"> means </w:t>
      </w:r>
      <w:r>
        <w:rPr>
          <w:b w:val="0"/>
          <w:i w:val="0"/>
        </w:rPr>
        <w:t>the European Economic Area.</w:t>
      </w:r>
    </w:p>
    <w:p>
      <w:pPr>
        <w:spacing w:after="80"/>
        <w:ind w:left="510" w:hanging="510"/>
      </w:pPr>
      <w:r>
        <w:rPr>
          <w:b/>
        </w:rPr>
        <w:t>Effective Date</w:t>
      </w:r>
      <w:r>
        <w:t xml:space="preserve"> means </w:t>
      </w:r>
      <w:r>
        <w:rPr>
          <w:b w:val="0"/>
          <w:i w:val="0"/>
        </w:rPr>
        <w:t>1 April 2026.</w:t>
      </w:r>
    </w:p>
    <w:p>
      <w:pPr>
        <w:spacing w:after="80"/>
        <w:ind w:left="510" w:hanging="510"/>
      </w:pPr>
      <w:r>
        <w:rPr>
          <w:b/>
        </w:rPr>
        <w:t>Personal Data</w:t>
      </w:r>
      <w:r>
        <w:t xml:space="preserve"> means </w:t>
      </w:r>
      <w:r>
        <w:rPr>
          <w:b w:val="0"/>
          <w:i w:val="0"/>
        </w:rPr>
        <w:t>any information relating to a Data Subject that the Processor processes on behalf of the Controller under the MSA.</w:t>
      </w:r>
    </w:p>
    <w:p>
      <w:pPr>
        <w:spacing w:after="80"/>
        <w:ind w:left="510" w:hanging="510"/>
      </w:pPr>
      <w:r>
        <w:rPr>
          <w:b/>
        </w:rPr>
        <w:t>Personal Data Breach</w:t>
      </w:r>
      <w:r>
        <w:t xml:space="preserve"> means </w:t>
      </w:r>
      <w:r>
        <w:rPr>
          <w:b w:val="0"/>
          <w:i w:val="0"/>
        </w:rPr>
        <w:t>a breach of security leading to the accidental or unlawful destruction, loss, alteration, unauthorised disclosure of, or access to, Personal Data.</w:t>
      </w:r>
    </w:p>
    <w:p>
      <w:pPr>
        <w:spacing w:after="80"/>
        <w:ind w:left="510" w:hanging="510"/>
      </w:pPr>
      <w:r>
        <w:rPr>
          <w:b/>
        </w:rPr>
        <w:t>Processing</w:t>
      </w:r>
      <w:r>
        <w:t xml:space="preserve"> means </w:t>
      </w:r>
      <w:r>
        <w:rPr>
          <w:b w:val="0"/>
          <w:i w:val="0"/>
        </w:rPr>
        <w:t>any operation performed on Personal Data, including collection, storage, retrieval, use, disclosure, deletion and destruction.</w:t>
      </w:r>
    </w:p>
    <w:p>
      <w:pPr>
        <w:spacing w:after="80"/>
        <w:ind w:left="510" w:hanging="510"/>
      </w:pPr>
      <w:r>
        <w:rPr>
          <w:b/>
        </w:rPr>
        <w:t>Restricted Transfer</w:t>
      </w:r>
      <w:r>
        <w:t xml:space="preserve"> means </w:t>
      </w:r>
      <w:r>
        <w:rPr>
          <w:b w:val="0"/>
          <w:i w:val="0"/>
        </w:rPr>
        <w:t>a transfer of Personal Data from the United Kingdom or the EEA to a country that is not covered by an adequacy decision.</w:t>
      </w:r>
    </w:p>
    <w:p>
      <w:pPr>
        <w:spacing w:after="80"/>
        <w:ind w:left="510" w:hanging="510"/>
      </w:pPr>
      <w:r>
        <w:rPr>
          <w:b/>
        </w:rPr>
        <w:t>Services</w:t>
      </w:r>
      <w:r>
        <w:t xml:space="preserve"> means </w:t>
      </w:r>
      <w:r>
        <w:rPr>
          <w:b w:val="0"/>
          <w:i w:val="0"/>
        </w:rPr>
        <w:t>the services provided by the Processor to the Controller under the MSA.</w:t>
      </w:r>
    </w:p>
    <w:p>
      <w:pPr>
        <w:spacing w:after="80"/>
        <w:ind w:left="510" w:hanging="510"/>
      </w:pPr>
      <w:r>
        <w:rPr>
          <w:b/>
        </w:rPr>
        <w:t>Standard Contractual Clauses</w:t>
      </w:r>
      <w:r>
        <w:t xml:space="preserve"> means </w:t>
      </w:r>
      <w:r>
        <w:rPr>
          <w:b w:val="0"/>
          <w:i w:val="0"/>
        </w:rPr>
        <w:t>the standard contractual clauses approved by European Commission Decision 2021/914, as amended from time to time.</w:t>
      </w:r>
    </w:p>
    <w:p>
      <w:pPr>
        <w:spacing w:after="80"/>
        <w:ind w:left="510" w:hanging="510"/>
      </w:pPr>
      <w:r>
        <w:rPr>
          <w:b/>
        </w:rPr>
        <w:t>Sub-processor</w:t>
      </w:r>
      <w:r>
        <w:t xml:space="preserve"> means </w:t>
      </w:r>
      <w:r>
        <w:rPr>
          <w:b w:val="0"/>
          <w:i w:val="0"/>
        </w:rPr>
        <w:t>any processor engaged by the Processor to process Personal Data on behalf of the Controller.</w:t>
      </w:r>
    </w:p>
    <w:p>
      <w:pPr>
        <w:spacing w:after="80"/>
        <w:ind w:left="510" w:hanging="510"/>
      </w:pPr>
      <w:r>
        <w:rPr>
          <w:b/>
        </w:rPr>
        <w:t>Supervisory Authority</w:t>
      </w:r>
      <w:r>
        <w:t xml:space="preserve"> means </w:t>
      </w:r>
      <w:r>
        <w:rPr>
          <w:b w:val="0"/>
          <w:i w:val="0"/>
        </w:rPr>
        <w:t>an independent public authority with competence over the processing of Personal Data under this Agreement.</w:t>
      </w:r>
    </w:p>
    <w:p>
      <w:pPr>
        <w:spacing w:after="80"/>
        <w:ind w:left="510" w:hanging="510"/>
      </w:pPr>
      <w:r>
        <w:rPr>
          <w:b/>
        </w:rPr>
        <w:t>UK Addendum</w:t>
      </w:r>
      <w:r>
        <w:t xml:space="preserve"> means </w:t>
      </w:r>
      <w:r>
        <w:rPr>
          <w:b w:val="0"/>
          <w:i w:val="0"/>
        </w:rPr>
        <w:t>the International Data Transfer Addendum to the Standard Contractual Clauses issued by the UK Information Commissioner.</w:t>
      </w:r>
    </w:p>
    <w:p>
      <w:pPr>
        <w:numPr>
          <w:ilvl w:val="1"/>
          <w:numId w:val="70"/>
        </w:numPr>
        <w:spacing w:after="120"/>
      </w:pPr>
      <w:r>
        <w:rPr>
          <w:b w:val="0"/>
          <w:i w:val="0"/>
        </w:rPr>
        <w:t>In this Agreement, a reference to a statute or regulation includes any amendment or replacement, and “including” means “including without limitation”.</w:t>
      </w:r>
    </w:p>
    <w:p>
      <w:pPr>
        <w:pStyle w:val="Heading1"/>
        <w:numPr>
          <w:ilvl w:val="0"/>
          <w:numId w:val="70"/>
        </w:numPr>
      </w:pPr>
      <w:r>
        <w:rPr>
          <w:b w:val="0"/>
          <w:i w:val="0"/>
        </w:rPr>
        <w:t>Roles and scope</w:t>
      </w:r>
    </w:p>
    <w:p>
      <w:pPr>
        <w:numPr>
          <w:ilvl w:val="1"/>
          <w:numId w:val="70"/>
        </w:numPr>
        <w:spacing w:after="120"/>
      </w:pPr>
      <w:r>
        <w:rPr>
          <w:b w:val="0"/>
          <w:i w:val="0"/>
        </w:rPr>
        <w:t>The Controller is the controller and the Processor is the processor of Personal Data. The Processor shall not determine the purposes or means of processing.</w:t>
      </w:r>
    </w:p>
    <w:p>
      <w:pPr>
        <w:numPr>
          <w:ilvl w:val="1"/>
          <w:numId w:val="70"/>
        </w:numPr>
        <w:spacing w:after="120"/>
      </w:pPr>
      <w:r>
        <w:rPr>
          <w:b w:val="0"/>
          <w:i w:val="0"/>
        </w:rPr>
        <w:t>The Processor shall process Personal Data only on the Controller's documented instructions, which comprise the MSA, this Agreement, the order form and the Controller's configuration of the platform, unless required to do otherwise by applicable law.</w:t>
      </w:r>
    </w:p>
    <w:p>
      <w:pPr>
        <w:numPr>
          <w:ilvl w:val="1"/>
          <w:numId w:val="70"/>
        </w:numPr>
        <w:spacing w:after="120"/>
      </w:pPr>
      <w:r>
        <w:rPr>
          <w:b w:val="0"/>
          <w:i w:val="0"/>
        </w:rPr>
        <w:t>The subject matter, duration, nature and purpose of the processing, the categories of Personal Data and the categories of Data Subjects are set out in Schedule 1.</w:t>
      </w:r>
    </w:p>
    <w:p>
      <w:pPr>
        <w:numPr>
          <w:ilvl w:val="1"/>
          <w:numId w:val="70"/>
        </w:numPr>
        <w:spacing w:after="120"/>
      </w:pPr>
      <w:r>
        <w:rPr>
          <w:b w:val="0"/>
          <w:i w:val="0"/>
        </w:rPr>
        <w:t>The Controller is responsible for the lawfulness of the processing, for providing notices to Data Subjects and for obtaining any consents required by law.</w:t>
      </w:r>
    </w:p>
    <w:p>
      <w:pPr>
        <w:numPr>
          <w:ilvl w:val="1"/>
          <w:numId w:val="70"/>
        </w:numPr>
        <w:spacing w:after="120"/>
      </w:pPr>
      <w:r>
        <w:rPr>
          <w:b w:val="0"/>
          <w:i w:val="0"/>
        </w:rPr>
        <w:t>The Processor shall promptly inform the Controller if, in its opinion, an instruction from the Controller infringes applicable data protection law. The Processor may suspend performance of the instruction until it is confirmed, amended or withdrawn.</w:t>
      </w:r>
    </w:p>
    <w:p>
      <w:pPr>
        <w:pStyle w:val="Heading1"/>
        <w:numPr>
          <w:ilvl w:val="0"/>
          <w:numId w:val="70"/>
        </w:numPr>
      </w:pPr>
      <w:r>
        <w:rPr>
          <w:b w:val="0"/>
          <w:i w:val="0"/>
        </w:rPr>
        <w:t>Processor obligations</w:t>
      </w:r>
    </w:p>
    <w:p>
      <w:pPr>
        <w:numPr>
          <w:ilvl w:val="1"/>
          <w:numId w:val="70"/>
        </w:numPr>
        <w:spacing w:after="120"/>
      </w:pPr>
      <w:r>
        <w:rPr>
          <w:b w:val="0"/>
          <w:i w:val="0"/>
        </w:rPr>
        <w:t>The Processor shall comply with Article 28 of the EU GDPR and, where applicable, the UK GDPR, and shall implement appropriate technical and organisational measures to ensure a level of security appropriate to the risk.</w:t>
      </w:r>
    </w:p>
    <w:p>
      <w:pPr>
        <w:numPr>
          <w:ilvl w:val="1"/>
          <w:numId w:val="70"/>
        </w:numPr>
        <w:spacing w:after="120"/>
      </w:pPr>
      <w:r>
        <w:rPr>
          <w:b w:val="0"/>
          <w:i w:val="0"/>
        </w:rPr>
        <w:t>The Processor shall ensure that persons authorised to process Personal Data are bound by confidentiality obligations and receive appropriate training.</w:t>
      </w:r>
    </w:p>
    <w:p>
      <w:pPr>
        <w:numPr>
          <w:ilvl w:val="1"/>
          <w:numId w:val="70"/>
        </w:numPr>
        <w:spacing w:after="120"/>
      </w:pPr>
      <w:r>
        <w:rPr>
          <w:b w:val="0"/>
          <w:i w:val="0"/>
        </w:rPr>
        <w:t>The Processor shall provide reasonable assistance to the Controller with data subject requests, data protection impact assessments and consultations with Supervisory Authorities, taking into account the nature of the processing and the information available to the Processor. Assistance that requires significant engineering or legal work shall be charged at the Processor's standard rates under a written scope.</w:t>
      </w:r>
    </w:p>
    <w:p>
      <w:pPr>
        <w:numPr>
          <w:ilvl w:val="1"/>
          <w:numId w:val="70"/>
        </w:numPr>
        <w:spacing w:after="120"/>
      </w:pPr>
      <w:r>
        <w:rPr>
          <w:b w:val="0"/>
          <w:i w:val="0"/>
        </w:rPr>
        <w:t>The Processor shall maintain records of its processing activities in accordance with Article 30 of the EU GDPR and shall make them available to the Controller on request.</w:t>
      </w:r>
    </w:p>
    <w:p>
      <w:pPr>
        <w:numPr>
          <w:ilvl w:val="1"/>
          <w:numId w:val="70"/>
        </w:numPr>
        <w:spacing w:after="120"/>
      </w:pPr>
      <w:r>
        <w:rPr>
          <w:b w:val="0"/>
          <w:i w:val="0"/>
        </w:rPr>
        <w:t>The Processor shall not engage in any processing that is inconsistent with the Controller's instructions, and shall immediately inform the Controller if an instruction infringes applicable data protection law.</w:t>
      </w:r>
    </w:p>
    <w:p>
      <w:pPr>
        <w:numPr>
          <w:ilvl w:val="1"/>
          <w:numId w:val="70"/>
        </w:numPr>
        <w:spacing w:after="120"/>
      </w:pPr>
      <w:r>
        <w:rPr>
          <w:b w:val="0"/>
          <w:i w:val="0"/>
        </w:rPr>
        <w:t>The Processor shall cooperate with the Controller and with any Supervisory Authority in the investigation of a complaint or the conduct of an inspection, and shall provide information within the time reasonably requested.</w:t>
      </w:r>
    </w:p>
    <w:p>
      <w:pPr>
        <w:pStyle w:val="Heading1"/>
        <w:numPr>
          <w:ilvl w:val="0"/>
          <w:numId w:val="70"/>
        </w:numPr>
      </w:pPr>
      <w:r>
        <w:rPr>
          <w:b w:val="0"/>
          <w:i w:val="0"/>
        </w:rPr>
        <w:t>Confidentiality of personnel</w:t>
      </w:r>
    </w:p>
    <w:p>
      <w:pPr>
        <w:numPr>
          <w:ilvl w:val="1"/>
          <w:numId w:val="70"/>
        </w:numPr>
        <w:spacing w:after="120"/>
      </w:pPr>
      <w:r>
        <w:rPr>
          <w:b w:val="0"/>
          <w:i w:val="0"/>
        </w:rPr>
        <w:t>The Processor shall limit access to Personal Data to personnel who need it to perform the Services, and shall ensure that those personnel are bound by written confidentiality obligations that survive the end of their engagement.</w:t>
      </w:r>
    </w:p>
    <w:p>
      <w:pPr>
        <w:numPr>
          <w:ilvl w:val="1"/>
          <w:numId w:val="70"/>
        </w:numPr>
        <w:spacing w:after="120"/>
      </w:pPr>
      <w:r>
        <w:rPr>
          <w:b w:val="0"/>
          <w:i w:val="0"/>
        </w:rPr>
        <w:t>The Processor shall maintain a record of the roles authorised to access Personal Data and shall provide it to the Controller on request.</w:t>
      </w:r>
    </w:p>
    <w:p>
      <w:pPr>
        <w:numPr>
          <w:ilvl w:val="1"/>
          <w:numId w:val="70"/>
        </w:numPr>
        <w:spacing w:after="120"/>
      </w:pPr>
      <w:r>
        <w:rPr>
          <w:b w:val="0"/>
          <w:i w:val="0"/>
        </w:rPr>
        <w:t>The confidentiality obligations in this Clause 4 are in addition to, and do not limit, the confidentiality obligations in the MSA.</w:t>
      </w:r>
    </w:p>
    <w:p>
      <w:pPr>
        <w:pStyle w:val="Heading1"/>
        <w:numPr>
          <w:ilvl w:val="0"/>
          <w:numId w:val="70"/>
        </w:numPr>
      </w:pPr>
      <w:r>
        <w:rPr>
          <w:b w:val="0"/>
          <w:i w:val="0"/>
        </w:rPr>
        <w:t>Security</w:t>
      </w:r>
    </w:p>
    <w:p>
      <w:pPr>
        <w:numPr>
          <w:ilvl w:val="1"/>
          <w:numId w:val="70"/>
        </w:numPr>
        <w:spacing w:after="120"/>
      </w:pPr>
      <w:r>
        <w:rPr>
          <w:b w:val="0"/>
          <w:i w:val="0"/>
        </w:rPr>
        <w:t>The Processor shall implement and maintain the technical and organisational measures set out in Schedule 3, and shall not materially reduce them during the term of this Agreement.</w:t>
      </w:r>
    </w:p>
    <w:p>
      <w:pPr>
        <w:numPr>
          <w:ilvl w:val="1"/>
          <w:numId w:val="70"/>
        </w:numPr>
        <w:spacing w:after="120"/>
      </w:pPr>
      <w:r>
        <w:rPr>
          <w:b w:val="0"/>
          <w:i w:val="0"/>
        </w:rPr>
        <w:t>The Processor shall maintain ISO/IEC 27001 certification and shall provide the current certificate and a SOC 2 Type II report to the Controller annually on request.</w:t>
      </w:r>
    </w:p>
    <w:p>
      <w:pPr>
        <w:numPr>
          <w:ilvl w:val="1"/>
          <w:numId w:val="70"/>
        </w:numPr>
        <w:spacing w:after="120"/>
      </w:pPr>
      <w:r>
        <w:rPr>
          <w:b w:val="0"/>
          <w:i w:val="0"/>
        </w:rPr>
        <w:t>The Processor shall notify the Controller of any change to the measures in Schedule 3 that materially reduces the level of protection, at least thirty (30) days before the change takes effect.</w:t>
      </w:r>
    </w:p>
    <w:p>
      <w:pPr>
        <w:numPr>
          <w:ilvl w:val="1"/>
          <w:numId w:val="70"/>
        </w:numPr>
        <w:spacing w:after="120"/>
      </w:pPr>
      <w:r>
        <w:rPr>
          <w:b w:val="0"/>
          <w:i w:val="0"/>
        </w:rPr>
        <w:t>The Processor shall test its security measures at least annually, including vulnerability scanning and penetration testing by an independent provider.</w:t>
      </w:r>
    </w:p>
    <w:p>
      <w:pPr>
        <w:numPr>
          <w:ilvl w:val="1"/>
          <w:numId w:val="70"/>
        </w:numPr>
        <w:spacing w:after="120"/>
      </w:pPr>
      <w:r>
        <w:rPr>
          <w:b w:val="0"/>
          <w:i w:val="0"/>
        </w:rPr>
        <w:t>The Processor shall operate a vulnerability disclosure programme, shall triage reported vulnerabilities within two (2) Business Days, and shall remediate critical vulnerabilities within the periods set out in Schedule 3.</w:t>
      </w:r>
    </w:p>
    <w:p>
      <w:pPr>
        <w:pStyle w:val="Heading1"/>
        <w:numPr>
          <w:ilvl w:val="0"/>
          <w:numId w:val="70"/>
        </w:numPr>
      </w:pPr>
      <w:r>
        <w:rPr>
          <w:b w:val="0"/>
          <w:i w:val="0"/>
        </w:rPr>
        <w:t>Sub-processors</w:t>
      </w:r>
    </w:p>
    <w:p>
      <w:pPr>
        <w:numPr>
          <w:ilvl w:val="1"/>
          <w:numId w:val="70"/>
        </w:numPr>
        <w:spacing w:after="120"/>
      </w:pPr>
      <w:r>
        <w:rPr>
          <w:b w:val="0"/>
          <w:i w:val="0"/>
        </w:rPr>
        <w:t>The Processor shall not appoint any Sub-processor without the Controller's prior written consent.</w:t>
      </w:r>
    </w:p>
    <w:p>
      <w:pPr>
        <w:numPr>
          <w:ilvl w:val="1"/>
          <w:numId w:val="70"/>
        </w:numPr>
        <w:spacing w:after="120"/>
      </w:pPr>
      <w:r>
        <w:rPr>
          <w:b w:val="0"/>
          <w:i w:val="0"/>
        </w:rPr>
        <w:t>The current Sub-processors are listed in Schedule 2. The Processor shall notify the Controller of any proposed addition or replacement and shall provide the information necessary for the Controller to assess the change.</w:t>
      </w:r>
    </w:p>
    <w:p>
      <w:pPr>
        <w:numPr>
          <w:ilvl w:val="1"/>
          <w:numId w:val="70"/>
        </w:numPr>
        <w:spacing w:after="120"/>
      </w:pPr>
      <w:r>
        <w:rPr>
          <w:b w:val="0"/>
          <w:i w:val="0"/>
        </w:rPr>
        <w:t>The Processor shall impose data protection obligations on each Sub-processor that are no less protective than those in this Agreement, and shall remain liable to the Controller for the performance of each Sub-processor.</w:t>
      </w:r>
    </w:p>
    <w:p>
      <w:pPr>
        <w:numPr>
          <w:ilvl w:val="1"/>
          <w:numId w:val="70"/>
        </w:numPr>
        <w:spacing w:after="120"/>
      </w:pPr>
      <w:r>
        <w:rPr>
          <w:b w:val="0"/>
          <w:i w:val="0"/>
        </w:rPr>
        <w:t>The Processor shall provide a copy of the relevant Sub-processor agreement to the Controller on request, subject to redaction of confidential commercial terms.</w:t>
      </w:r>
    </w:p>
    <w:p>
      <w:pPr>
        <w:pStyle w:val="Heading1"/>
        <w:numPr>
          <w:ilvl w:val="0"/>
          <w:numId w:val="70"/>
        </w:numPr>
      </w:pPr>
      <w:r>
        <w:rPr>
          <w:b w:val="0"/>
          <w:i w:val="0"/>
        </w:rPr>
        <w:t>International transfers</w:t>
      </w:r>
    </w:p>
    <w:p>
      <w:pPr>
        <w:numPr>
          <w:ilvl w:val="1"/>
          <w:numId w:val="70"/>
        </w:numPr>
        <w:spacing w:after="120"/>
      </w:pPr>
      <w:r>
        <w:rPr>
          <w:b w:val="0"/>
          <w:i w:val="0"/>
        </w:rPr>
        <w:t>The Processor may process Personal Data in the locations set out in Schedule 1.</w:t>
      </w:r>
    </w:p>
    <w:p>
      <w:pPr>
        <w:numPr>
          <w:ilvl w:val="1"/>
          <w:numId w:val="70"/>
        </w:numPr>
        <w:spacing w:after="120"/>
      </w:pPr>
      <w:r>
        <w:rPr>
          <w:b w:val="0"/>
          <w:i w:val="0"/>
        </w:rPr>
        <w:t>Where Personal Data is transferred outside the United Kingdom or the EEA, the Processor shall ensure that appropriate safeguards are in place.</w:t>
      </w:r>
    </w:p>
    <w:p>
      <w:pPr>
        <w:numPr>
          <w:ilvl w:val="1"/>
          <w:numId w:val="70"/>
        </w:numPr>
        <w:spacing w:after="120"/>
      </w:pPr>
      <w:r>
        <w:rPr>
          <w:b w:val="0"/>
          <w:i w:val="0"/>
        </w:rPr>
        <w:t>The Processor shall enter into the Standard Contractual Clauses and the UK Addendum with the relevant importing party, and shall complete a transfer risk assessment before the transfer begins.</w:t>
      </w:r>
    </w:p>
    <w:p>
      <w:pPr>
        <w:numPr>
          <w:ilvl w:val="1"/>
          <w:numId w:val="70"/>
        </w:numPr>
        <w:spacing w:after="120"/>
      </w:pPr>
      <w:r>
        <w:rPr>
          <w:b w:val="0"/>
          <w:i w:val="0"/>
        </w:rPr>
        <w:t>The Processor shall notify the Controller promptly if it becomes aware that the legal protection for the transferred Personal Data has materially changed.</w:t>
      </w:r>
    </w:p>
    <w:p>
      <w:pPr>
        <w:numPr>
          <w:ilvl w:val="1"/>
          <w:numId w:val="70"/>
        </w:numPr>
        <w:spacing w:after="120"/>
      </w:pPr>
      <w:r>
        <w:rPr>
          <w:b w:val="0"/>
          <w:i w:val="0"/>
        </w:rPr>
        <w:t>The Processor shall review each transfer risk assessment at least annually and shall make the current assessment available to the Controller on request.</w:t>
      </w:r>
    </w:p>
    <w:p>
      <w:pPr>
        <w:pStyle w:val="Heading1"/>
        <w:numPr>
          <w:ilvl w:val="0"/>
          <w:numId w:val="70"/>
        </w:numPr>
      </w:pPr>
      <w:r>
        <w:rPr>
          <w:b w:val="0"/>
          <w:i w:val="0"/>
        </w:rPr>
        <w:t>Data subject rights</w:t>
      </w:r>
    </w:p>
    <w:p>
      <w:pPr>
        <w:numPr>
          <w:ilvl w:val="1"/>
          <w:numId w:val="70"/>
        </w:numPr>
        <w:spacing w:after="120"/>
      </w:pPr>
      <w:r>
        <w:rPr>
          <w:b w:val="0"/>
          <w:i w:val="0"/>
        </w:rPr>
        <w:t>The Processor shall assist the Controller in responding to requests from Data Subjects to exercise their rights under applicable data protection law, including access, rectification, erasure, restriction and portability.</w:t>
      </w:r>
    </w:p>
    <w:p>
      <w:pPr>
        <w:numPr>
          <w:ilvl w:val="1"/>
          <w:numId w:val="70"/>
        </w:numPr>
        <w:spacing w:after="120"/>
      </w:pPr>
      <w:r>
        <w:rPr>
          <w:b w:val="0"/>
          <w:i w:val="0"/>
        </w:rPr>
        <w:t>The Processor shall not respond to a Data Subject request directly unless instructed by the Controller in writing, except to confirm that the request has been forwarded to the Controller.</w:t>
      </w:r>
    </w:p>
    <w:p>
      <w:pPr>
        <w:numPr>
          <w:ilvl w:val="1"/>
          <w:numId w:val="70"/>
        </w:numPr>
        <w:spacing w:after="120"/>
      </w:pPr>
      <w:r>
        <w:rPr>
          <w:b w:val="0"/>
          <w:i w:val="0"/>
        </w:rPr>
        <w:t>Where a request requires manual work that is not included in the Services, the Processor may charge the Controller at its standard professional services rates, subject to a written estimate.</w:t>
      </w:r>
    </w:p>
    <w:p>
      <w:pPr>
        <w:pStyle w:val="Heading1"/>
        <w:numPr>
          <w:ilvl w:val="0"/>
          <w:numId w:val="70"/>
        </w:numPr>
      </w:pPr>
      <w:r>
        <w:rPr>
          <w:b w:val="0"/>
          <w:i w:val="0"/>
        </w:rPr>
        <w:t>Personal data breaches</w:t>
      </w:r>
    </w:p>
    <w:p>
      <w:pPr>
        <w:numPr>
          <w:ilvl w:val="1"/>
          <w:numId w:val="70"/>
        </w:numPr>
        <w:spacing w:after="120"/>
      </w:pPr>
      <w:r>
        <w:rPr>
          <w:b w:val="0"/>
          <w:i w:val="0"/>
        </w:rPr>
        <w:t>The Processor shall notify the Controller without undue delay, and in any event within seventy-two (72) hours, of becoming aware of a Personal Data Breach.</w:t>
      </w:r>
    </w:p>
    <w:p>
      <w:pPr>
        <w:numPr>
          <w:ilvl w:val="1"/>
          <w:numId w:val="70"/>
        </w:numPr>
        <w:spacing w:after="120"/>
      </w:pPr>
      <w:r>
        <w:rPr>
          <w:b w:val="0"/>
          <w:i w:val="0"/>
        </w:rPr>
        <w:t>The notification shall include, to the extent available, the nature of the breach, the categories and approximate number of Data Subjects affected, the categories and approximate volume of Personal Data affected, the likely consequences, and the measures taken or proposed.</w:t>
      </w:r>
    </w:p>
    <w:p>
      <w:pPr>
        <w:numPr>
          <w:ilvl w:val="1"/>
          <w:numId w:val="70"/>
        </w:numPr>
        <w:spacing w:after="120"/>
      </w:pPr>
      <w:r>
        <w:rPr>
          <w:b w:val="0"/>
          <w:i w:val="0"/>
        </w:rPr>
        <w:t>The Processor shall cooperate with the Controller in investigating the breach and in meeting the Controller's obligations to notify Supervisory Authorities and Data Subjects.</w:t>
      </w:r>
    </w:p>
    <w:p>
      <w:pPr>
        <w:numPr>
          <w:ilvl w:val="1"/>
          <w:numId w:val="70"/>
        </w:numPr>
        <w:spacing w:after="120"/>
      </w:pPr>
      <w:r>
        <w:rPr>
          <w:b w:val="0"/>
          <w:i w:val="0"/>
        </w:rPr>
        <w:t>The Processor shall not notify any Supervisory Authority or Data Subject on the Controller's behalf without the Controller's prior written instructions, except where required by law.</w:t>
      </w:r>
    </w:p>
    <w:p>
      <w:pPr>
        <w:numPr>
          <w:ilvl w:val="1"/>
          <w:numId w:val="70"/>
        </w:numPr>
        <w:spacing w:after="120"/>
      </w:pPr>
      <w:r>
        <w:rPr>
          <w:b w:val="0"/>
          <w:i w:val="0"/>
        </w:rPr>
        <w:t>The Processor shall maintain a register of all Personal Data Breaches, including those that do not require notification, and shall make the register available to the Controller on request.</w:t>
      </w:r>
    </w:p>
    <w:p>
      <w:pPr>
        <w:numPr>
          <w:ilvl w:val="1"/>
          <w:numId w:val="70"/>
        </w:numPr>
        <w:spacing w:after="120"/>
      </w:pPr>
      <w:r>
        <w:rPr>
          <w:b w:val="0"/>
          <w:i w:val="0"/>
        </w:rPr>
        <w:t>The Processor shall provide a root-cause analysis and a remediation plan for each Personal Data Breach within ten (10) Business Days of the initial notification, unless the Controller agrees a longer period.</w:t>
      </w:r>
    </w:p>
    <w:p>
      <w:pPr>
        <w:pStyle w:val="Heading1"/>
        <w:numPr>
          <w:ilvl w:val="0"/>
          <w:numId w:val="70"/>
        </w:numPr>
      </w:pPr>
      <w:r>
        <w:rPr>
          <w:b w:val="0"/>
          <w:i w:val="0"/>
        </w:rPr>
        <w:t>Audits and inspections</w:t>
      </w:r>
    </w:p>
    <w:p>
      <w:pPr>
        <w:numPr>
          <w:ilvl w:val="1"/>
          <w:numId w:val="70"/>
        </w:numPr>
        <w:spacing w:after="120"/>
      </w:pPr>
      <w:r>
        <w:rPr>
          <w:b w:val="0"/>
          <w:i w:val="0"/>
        </w:rPr>
        <w:t>The Controller may audit the Processor's compliance with this Agreement and inspect the facilities, systems and records used to process Personal Data.</w:t>
      </w:r>
    </w:p>
    <w:p>
      <w:pPr>
        <w:numPr>
          <w:ilvl w:val="1"/>
          <w:numId w:val="70"/>
        </w:numPr>
        <w:spacing w:after="120"/>
      </w:pPr>
      <w:r>
        <w:rPr>
          <w:b w:val="0"/>
          <w:i w:val="0"/>
        </w:rPr>
        <w:t>The Controller may conduct an audit on not less than two (2) Business Days' prior written notice, at any time and without limit on frequency. The Processor shall bear all costs of the audit, including the costs of any Sub-processor inspection.</w:t>
      </w:r>
    </w:p>
    <w:p>
      <w:pPr>
        <w:numPr>
          <w:ilvl w:val="1"/>
          <w:numId w:val="70"/>
        </w:numPr>
        <w:spacing w:after="120"/>
      </w:pPr>
      <w:r>
        <w:rPr>
          <w:b w:val="0"/>
          <w:i w:val="0"/>
        </w:rPr>
        <w:t>The audit shall be conducted during normal business hours and shall not interfere with the Processor's operations or compromise the security of other customers' data.</w:t>
      </w:r>
    </w:p>
    <w:p>
      <w:pPr>
        <w:numPr>
          <w:ilvl w:val="1"/>
          <w:numId w:val="70"/>
        </w:numPr>
        <w:spacing w:after="120"/>
      </w:pPr>
      <w:r>
        <w:rPr>
          <w:b w:val="0"/>
          <w:i w:val="0"/>
        </w:rPr>
        <w:t>The auditor shall be independent, bound by confidentiality obligations and shall not have access to the Processor's source code or to any other customer's Personal Data.</w:t>
      </w:r>
    </w:p>
    <w:p>
      <w:pPr>
        <w:numPr>
          <w:ilvl w:val="1"/>
          <w:numId w:val="70"/>
        </w:numPr>
        <w:spacing w:after="120"/>
      </w:pPr>
      <w:r>
        <w:rPr>
          <w:b w:val="0"/>
          <w:i w:val="0"/>
        </w:rPr>
        <w:t>The Processor shall implement any remediation agreed following an audit within the timetable agreed in writing.</w:t>
      </w:r>
    </w:p>
    <w:p>
      <w:pPr>
        <w:numPr>
          <w:ilvl w:val="1"/>
          <w:numId w:val="70"/>
        </w:numPr>
        <w:spacing w:after="120"/>
      </w:pPr>
      <w:r>
        <w:rPr>
          <w:b w:val="0"/>
          <w:i w:val="0"/>
        </w:rPr>
        <w:t>The Controller shall use reasonable endeavours to minimise disruption to the Processor's operations and to coordinate any audit of a Sub-processor through the Processor.</w:t>
      </w:r>
    </w:p>
    <w:p>
      <w:pPr>
        <w:pStyle w:val="Heading1"/>
        <w:numPr>
          <w:ilvl w:val="0"/>
          <w:numId w:val="70"/>
        </w:numPr>
      </w:pPr>
      <w:r>
        <w:rPr>
          <w:b w:val="0"/>
          <w:i w:val="0"/>
        </w:rPr>
        <w:t>Return and deletion</w:t>
      </w:r>
    </w:p>
    <w:p>
      <w:pPr>
        <w:numPr>
          <w:ilvl w:val="1"/>
          <w:numId w:val="70"/>
        </w:numPr>
        <w:spacing w:after="120"/>
      </w:pPr>
      <w:r>
        <w:rPr>
          <w:b w:val="0"/>
          <w:i w:val="0"/>
        </w:rPr>
        <w:t>On termination of this Agreement, the Processor shall delete Personal Data within thirty (30) days, unless retention is required by law.</w:t>
      </w:r>
    </w:p>
    <w:p>
      <w:pPr>
        <w:numPr>
          <w:ilvl w:val="1"/>
          <w:numId w:val="70"/>
        </w:numPr>
        <w:spacing w:after="120"/>
      </w:pPr>
      <w:r>
        <w:rPr>
          <w:b w:val="0"/>
          <w:i w:val="0"/>
        </w:rPr>
        <w:t>Before deletion, the Processor shall return Personal Data to the Controller in a structured, commonly used and machine-readable format.</w:t>
      </w:r>
    </w:p>
    <w:p>
      <w:pPr>
        <w:numPr>
          <w:ilvl w:val="1"/>
          <w:numId w:val="70"/>
        </w:numPr>
        <w:spacing w:after="120"/>
      </w:pPr>
      <w:r>
        <w:rPr>
          <w:b w:val="0"/>
          <w:i w:val="0"/>
        </w:rPr>
        <w:t>The Processor shall certify deletion in writing on request, signed by an authorised officer.</w:t>
      </w:r>
    </w:p>
    <w:p>
      <w:pPr>
        <w:numPr>
          <w:ilvl w:val="1"/>
          <w:numId w:val="70"/>
        </w:numPr>
        <w:spacing w:after="120"/>
      </w:pPr>
      <w:r>
        <w:rPr>
          <w:b w:val="0"/>
          <w:i w:val="0"/>
        </w:rPr>
        <w:t>Backup copies shall be deleted in accordance with the Processor's standard backup rotation, which shall not exceed ninety (90) days.</w:t>
      </w:r>
    </w:p>
    <w:p>
      <w:pPr>
        <w:numPr>
          <w:ilvl w:val="1"/>
          <w:numId w:val="70"/>
        </w:numPr>
        <w:spacing w:after="120"/>
      </w:pPr>
      <w:r>
        <w:rPr>
          <w:b w:val="0"/>
          <w:i w:val="0"/>
        </w:rPr>
        <w:t>If the Controller requires deletion earlier than the period in Clause 11.1, the Processor shall use reasonable endeavours to comply, provided that the request does not compromise the integrity of its backup systems.</w:t>
      </w:r>
    </w:p>
    <w:p>
      <w:pPr>
        <w:pStyle w:val="Heading1"/>
        <w:numPr>
          <w:ilvl w:val="0"/>
          <w:numId w:val="70"/>
        </w:numPr>
      </w:pPr>
      <w:r>
        <w:rPr>
          <w:b w:val="0"/>
          <w:i w:val="0"/>
        </w:rPr>
        <w:t>Liability and indemnity</w:t>
      </w:r>
    </w:p>
    <w:p>
      <w:pPr>
        <w:numPr>
          <w:ilvl w:val="1"/>
          <w:numId w:val="70"/>
        </w:numPr>
        <w:spacing w:after="120"/>
      </w:pPr>
      <w:r>
        <w:rPr>
          <w:b w:val="0"/>
          <w:i w:val="0"/>
        </w:rPr>
        <w:t>Subject to Clause 12.2, the liability of each party under this Agreement is subject to the limitations in the MSA.</w:t>
      </w:r>
    </w:p>
    <w:p>
      <w:pPr>
        <w:numPr>
          <w:ilvl w:val="1"/>
          <w:numId w:val="70"/>
        </w:numPr>
        <w:spacing w:after="120"/>
      </w:pPr>
      <w:r>
        <w:rPr>
          <w:b w:val="0"/>
          <w:i w:val="0"/>
        </w:rPr>
        <w:t>Without limit and notwithstanding any limitation of liability in the MSA, the Processor shall indemnify the Controller against all fines, penalties, compensation and costs arising from any breach of this Agreement.</w:t>
      </w:r>
    </w:p>
    <w:p>
      <w:pPr>
        <w:numPr>
          <w:ilvl w:val="1"/>
          <w:numId w:val="70"/>
        </w:numPr>
        <w:spacing w:after="120"/>
      </w:pPr>
      <w:r>
        <w:rPr>
          <w:b w:val="0"/>
          <w:i w:val="0"/>
        </w:rPr>
        <w:t>The Controller shall indemnify the Processor against any claim arising from an instruction that is unlawful or outside the scope of the Services, provided that the Processor has notified the Controller of the issue.</w:t>
      </w:r>
    </w:p>
    <w:p>
      <w:pPr>
        <w:numPr>
          <w:ilvl w:val="1"/>
          <w:numId w:val="70"/>
        </w:numPr>
        <w:spacing w:after="120"/>
      </w:pPr>
      <w:r>
        <w:rPr>
          <w:b w:val="0"/>
          <w:i w:val="0"/>
        </w:rPr>
        <w:t>Each party shall take reasonable steps to mitigate any loss arising from a breach of this Agreement.</w:t>
      </w:r>
    </w:p>
    <w:p>
      <w:pPr>
        <w:pStyle w:val="Heading1"/>
        <w:numPr>
          <w:ilvl w:val="0"/>
          <w:numId w:val="70"/>
        </w:numPr>
      </w:pPr>
      <w:r>
        <w:rPr>
          <w:b w:val="0"/>
          <w:i w:val="0"/>
        </w:rPr>
        <w:t>Term and termination</w:t>
      </w:r>
    </w:p>
    <w:p>
      <w:pPr>
        <w:numPr>
          <w:ilvl w:val="1"/>
          <w:numId w:val="70"/>
        </w:numPr>
        <w:spacing w:after="120"/>
      </w:pPr>
      <w:r>
        <w:rPr>
          <w:b w:val="0"/>
          <w:i w:val="0"/>
        </w:rPr>
        <w:t>This Agreement begins on the Effective Date and continues until the later of the termination of the MSA and the completion of the deletion obligations in Clause 11.</w:t>
      </w:r>
    </w:p>
    <w:p>
      <w:pPr>
        <w:numPr>
          <w:ilvl w:val="1"/>
          <w:numId w:val="70"/>
        </w:numPr>
        <w:spacing w:after="120"/>
      </w:pPr>
      <w:r>
        <w:rPr>
          <w:b w:val="0"/>
          <w:i w:val="0"/>
        </w:rPr>
        <w:t>Either party may terminate this Agreement with immediate effect if the other party commits a material breach of this Agreement and fails to remedy it within thirty (30) days of written notice.</w:t>
      </w:r>
    </w:p>
    <w:p>
      <w:pPr>
        <w:numPr>
          <w:ilvl w:val="1"/>
          <w:numId w:val="70"/>
        </w:numPr>
        <w:spacing w:after="120"/>
      </w:pPr>
      <w:r>
        <w:rPr>
          <w:b w:val="0"/>
          <w:i w:val="0"/>
        </w:rPr>
        <w:t>Termination of this Agreement does not affect the parties' obligations in respect of Personal Data processed before termination, and Clauses 4, 5, 8, 9, 10, 11, 12 and 14 survive for as long as the Processor retains Personal Data.</w:t>
      </w:r>
    </w:p>
    <w:p>
      <w:pPr>
        <w:numPr>
          <w:ilvl w:val="1"/>
          <w:numId w:val="70"/>
        </w:numPr>
        <w:spacing w:after="120"/>
      </w:pPr>
      <w:r>
        <w:rPr>
          <w:b w:val="0"/>
          <w:i w:val="0"/>
        </w:rPr>
        <w:t>Subject to Clause 13.1, if the MSA terminates or expires for any reason, this Agreement terminates on the same date, without prejudice to the deletion obligations in Clause 11.</w:t>
      </w:r>
    </w:p>
    <w:p>
      <w:pPr>
        <w:pStyle w:val="Heading1"/>
        <w:numPr>
          <w:ilvl w:val="0"/>
          <w:numId w:val="70"/>
        </w:numPr>
      </w:pPr>
      <w:r>
        <w:rPr>
          <w:b w:val="0"/>
          <w:i w:val="0"/>
        </w:rPr>
        <w:t>Governing law and jurisdiction</w:t>
      </w:r>
    </w:p>
    <w:p>
      <w:pPr>
        <w:numPr>
          <w:ilvl w:val="1"/>
          <w:numId w:val="70"/>
        </w:numPr>
        <w:spacing w:after="120"/>
      </w:pPr>
      <w:r>
        <w:rPr>
          <w:b w:val="0"/>
          <w:i w:val="0"/>
        </w:rPr>
        <w:t>This Agreement is governed by the laws of the Federal Republic of Germany.</w:t>
      </w:r>
    </w:p>
    <w:p>
      <w:pPr>
        <w:numPr>
          <w:ilvl w:val="1"/>
          <w:numId w:val="70"/>
        </w:numPr>
        <w:spacing w:after="120"/>
      </w:pPr>
      <w:r>
        <w:rPr>
          <w:b w:val="0"/>
          <w:i w:val="0"/>
        </w:rPr>
        <w:t>The parties submit to the exclusive jurisdiction of the courts of Munich, Germany.</w:t>
      </w:r>
    </w:p>
    <w:p>
      <w:pPr>
        <w:numPr>
          <w:ilvl w:val="1"/>
          <w:numId w:val="70"/>
        </w:numPr>
        <w:spacing w:after="120"/>
      </w:pPr>
      <w:r>
        <w:rPr>
          <w:b w:val="0"/>
          <w:i w:val="0"/>
        </w:rPr>
        <w:t>The English language version of this Agreement prevails over any translation.</w:t>
      </w:r>
    </w:p>
    <w:p>
      <w:pPr>
        <w:numPr>
          <w:ilvl w:val="1"/>
          <w:numId w:val="70"/>
        </w:numPr>
        <w:spacing w:after="120"/>
      </w:pPr>
      <w:r>
        <w:rPr>
          <w:b w:val="0"/>
          <w:i w:val="0"/>
        </w:rPr>
        <w:t>The parties shall use English for all notices, records and communications under this Agreement, unless a Supervisory Authority requires otherwise.</w:t>
      </w:r>
    </w:p>
    <w:p>
      <w:pPr>
        <w:spacing w:after="0"/>
      </w:pPr>
      <w:r>
        <w:br w:type="page"/>
      </w:r>
    </w:p>
    <w:p>
      <w:pPr>
        <w:pStyle w:val="Heading1"/>
      </w:pPr>
      <w:r>
        <w:t>Schedule 1 — Details of Processing</w:t>
      </w:r>
    </w:p>
    <w:p>
      <w:r>
        <w:rPr>
          <w:b w:val="0"/>
          <w:i w:val="0"/>
        </w:rPr>
        <w:t>The processing details are set out below and form part of this Agreement.</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tblHeader w:val="true"/>
        </w:trPr>
        <w:tc>
          <w:tcPr>
            <w:tcW w:type="dxa" w:w="2608"/>
            <w:shd w:val="clear" w:color="auto" w:fill="1F3864"/>
          </w:tcPr>
          <w:p>
            <w:pPr>
              <w:spacing w:after="0" w:line="240" w:lineRule="auto"/>
            </w:pPr>
            <w:r>
              <w:rPr>
                <w:b/>
                <w:color w:val="FFFFFF"/>
                <w:sz w:val="17"/>
              </w:rPr>
              <w:t>Item</w:t>
            </w:r>
          </w:p>
        </w:tc>
        <w:tc>
          <w:tcPr>
            <w:tcW w:type="dxa" w:w="6803"/>
            <w:shd w:val="clear" w:color="auto" w:fill="1F3864"/>
          </w:tcPr>
          <w:p>
            <w:pPr>
              <w:spacing w:after="0" w:line="240" w:lineRule="auto"/>
            </w:pPr>
            <w:r>
              <w:rPr>
                <w:b/>
                <w:color w:val="FFFFFF"/>
                <w:sz w:val="17"/>
              </w:rPr>
              <w:t>Detail</w:t>
            </w:r>
          </w:p>
        </w:tc>
      </w:tr>
      <w:tr>
        <w:trPr>
          <w:cantSplit/>
        </w:trPr>
        <w:tc>
          <w:tcPr>
            <w:tcW w:type="dxa" w:w="2608"/>
          </w:tcPr>
          <w:p>
            <w:pPr>
              <w:spacing w:after="40" w:line="240" w:lineRule="auto"/>
            </w:pPr>
            <w:r>
              <w:rPr>
                <w:b w:val="0"/>
                <w:i w:val="0"/>
                <w:sz w:val="17"/>
              </w:rPr>
              <w:t>Controller</w:t>
            </w:r>
          </w:p>
        </w:tc>
        <w:tc>
          <w:tcPr>
            <w:tcW w:type="dxa" w:w="6803"/>
          </w:tcPr>
          <w:p>
            <w:pPr>
              <w:spacing w:after="40" w:line="240" w:lineRule="auto"/>
            </w:pPr>
            <w:r>
              <w:rPr>
                <w:b w:val="0"/>
                <w:i w:val="0"/>
                <w:sz w:val="17"/>
              </w:rPr>
              <w:t>Vantage Health GmbH, Ridlerstraße 31, 80339 München, Germany</w:t>
            </w:r>
          </w:p>
        </w:tc>
      </w:tr>
      <w:tr>
        <w:trPr>
          <w:cantSplit/>
        </w:trPr>
        <w:tc>
          <w:tcPr>
            <w:tcW w:type="dxa" w:w="2608"/>
          </w:tcPr>
          <w:p>
            <w:pPr>
              <w:spacing w:after="40" w:line="240" w:lineRule="auto"/>
            </w:pPr>
            <w:r>
              <w:rPr>
                <w:b w:val="0"/>
                <w:i w:val="0"/>
                <w:sz w:val="17"/>
              </w:rPr>
              <w:t>Processor</w:t>
            </w:r>
          </w:p>
        </w:tc>
        <w:tc>
          <w:tcPr>
            <w:tcW w:type="dxa" w:w="6803"/>
          </w:tcPr>
          <w:p>
            <w:pPr>
              <w:spacing w:after="40" w:line="240" w:lineRule="auto"/>
            </w:pPr>
            <w:r>
              <w:rPr>
                <w:b w:val="0"/>
                <w:i w:val="0"/>
                <w:sz w:val="17"/>
              </w:rPr>
              <w:t>Bramber Software Limited, The Glass Works, 12 Feeder Road, Bristol BS2 0SB, United Kingdom</w:t>
            </w:r>
          </w:p>
        </w:tc>
      </w:tr>
      <w:tr>
        <w:trPr>
          <w:cantSplit/>
        </w:trPr>
        <w:tc>
          <w:tcPr>
            <w:tcW w:type="dxa" w:w="2608"/>
          </w:tcPr>
          <w:p>
            <w:pPr>
              <w:spacing w:after="40" w:line="240" w:lineRule="auto"/>
            </w:pPr>
            <w:r>
              <w:rPr>
                <w:b w:val="0"/>
                <w:i w:val="0"/>
                <w:sz w:val="17"/>
              </w:rPr>
              <w:t>Subject matter</w:t>
            </w:r>
          </w:p>
        </w:tc>
        <w:tc>
          <w:tcPr>
            <w:tcW w:type="dxa" w:w="6803"/>
          </w:tcPr>
          <w:p>
            <w:pPr>
              <w:spacing w:after="40" w:line="240" w:lineRule="auto"/>
            </w:pPr>
            <w:r>
              <w:rPr>
                <w:b w:val="0"/>
                <w:i w:val="0"/>
                <w:sz w:val="17"/>
              </w:rPr>
              <w:t>Provision of the Bramber Flow claims triage and case management platform, support and related services</w:t>
            </w:r>
          </w:p>
        </w:tc>
      </w:tr>
      <w:tr>
        <w:trPr>
          <w:cantSplit/>
        </w:trPr>
        <w:tc>
          <w:tcPr>
            <w:tcW w:type="dxa" w:w="2608"/>
          </w:tcPr>
          <w:p>
            <w:pPr>
              <w:spacing w:after="40" w:line="240" w:lineRule="auto"/>
            </w:pPr>
            <w:r>
              <w:rPr>
                <w:b w:val="0"/>
                <w:i w:val="0"/>
                <w:sz w:val="17"/>
              </w:rPr>
              <w:t>Duration</w:t>
            </w:r>
          </w:p>
        </w:tc>
        <w:tc>
          <w:tcPr>
            <w:tcW w:type="dxa" w:w="6803"/>
          </w:tcPr>
          <w:p>
            <w:pPr>
              <w:spacing w:after="40" w:line="240" w:lineRule="auto"/>
            </w:pPr>
            <w:r>
              <w:rPr>
                <w:b w:val="0"/>
                <w:i w:val="0"/>
                <w:sz w:val="17"/>
              </w:rPr>
              <w:t>From 1 April 2026 until termination of the MSA, plus the deletion period in Clause 11</w:t>
            </w:r>
          </w:p>
        </w:tc>
      </w:tr>
      <w:tr>
        <w:trPr>
          <w:cantSplit/>
        </w:trPr>
        <w:tc>
          <w:tcPr>
            <w:tcW w:type="dxa" w:w="2608"/>
          </w:tcPr>
          <w:p>
            <w:pPr>
              <w:spacing w:after="40" w:line="240" w:lineRule="auto"/>
            </w:pPr>
            <w:r>
              <w:rPr>
                <w:b w:val="0"/>
                <w:i w:val="0"/>
                <w:sz w:val="17"/>
              </w:rPr>
              <w:t>Nature of processing</w:t>
            </w:r>
          </w:p>
        </w:tc>
        <w:tc>
          <w:tcPr>
            <w:tcW w:type="dxa" w:w="6803"/>
          </w:tcPr>
          <w:p>
            <w:pPr>
              <w:spacing w:after="40" w:line="240" w:lineRule="auto"/>
            </w:pPr>
            <w:r>
              <w:rPr>
                <w:b w:val="0"/>
                <w:i w:val="0"/>
                <w:sz w:val="17"/>
              </w:rPr>
              <w:t>Hosting, storage, retrieval, workflow routing, case management, reporting, analytics and support</w:t>
            </w:r>
          </w:p>
        </w:tc>
      </w:tr>
      <w:tr>
        <w:trPr>
          <w:cantSplit/>
        </w:trPr>
        <w:tc>
          <w:tcPr>
            <w:tcW w:type="dxa" w:w="2608"/>
          </w:tcPr>
          <w:p>
            <w:pPr>
              <w:spacing w:after="40" w:line="240" w:lineRule="auto"/>
            </w:pPr>
            <w:r>
              <w:rPr>
                <w:b w:val="0"/>
                <w:i w:val="0"/>
                <w:sz w:val="17"/>
              </w:rPr>
              <w:t>Purpose of processing</w:t>
            </w:r>
          </w:p>
        </w:tc>
        <w:tc>
          <w:tcPr>
            <w:tcW w:type="dxa" w:w="6803"/>
          </w:tcPr>
          <w:p>
            <w:pPr>
              <w:spacing w:after="40" w:line="240" w:lineRule="auto"/>
            </w:pPr>
            <w:r>
              <w:rPr>
                <w:b w:val="0"/>
                <w:i w:val="0"/>
                <w:sz w:val="17"/>
              </w:rPr>
              <w:t>Claims triage, case management, operational reporting and service improvement for the Controller's health insurance business</w:t>
            </w:r>
          </w:p>
        </w:tc>
      </w:tr>
      <w:tr>
        <w:trPr>
          <w:cantSplit/>
        </w:trPr>
        <w:tc>
          <w:tcPr>
            <w:tcW w:type="dxa" w:w="2608"/>
          </w:tcPr>
          <w:p>
            <w:pPr>
              <w:spacing w:after="40" w:line="240" w:lineRule="auto"/>
            </w:pPr>
            <w:r>
              <w:rPr>
                <w:b w:val="0"/>
                <w:i w:val="0"/>
                <w:sz w:val="17"/>
              </w:rPr>
              <w:t>Categories of Personal Data</w:t>
            </w:r>
          </w:p>
        </w:tc>
        <w:tc>
          <w:tcPr>
            <w:tcW w:type="dxa" w:w="6803"/>
          </w:tcPr>
          <w:p>
            <w:pPr>
              <w:spacing w:after="40" w:line="240" w:lineRule="auto"/>
            </w:pPr>
            <w:r>
              <w:rPr>
                <w:b w:val="0"/>
                <w:i w:val="0"/>
                <w:sz w:val="17"/>
              </w:rPr>
              <w:t>Identity data, contact data, policy and claim data, health data (special category), case notes, correspondence and technical logs</w:t>
            </w:r>
          </w:p>
        </w:tc>
      </w:tr>
      <w:tr>
        <w:trPr>
          <w:cantSplit/>
        </w:trPr>
        <w:tc>
          <w:tcPr>
            <w:tcW w:type="dxa" w:w="2608"/>
          </w:tcPr>
          <w:p>
            <w:pPr>
              <w:spacing w:after="40" w:line="240" w:lineRule="auto"/>
            </w:pPr>
            <w:r>
              <w:rPr>
                <w:b w:val="0"/>
                <w:i w:val="0"/>
                <w:sz w:val="17"/>
              </w:rPr>
              <w:t>Categories of Data Subjects</w:t>
            </w:r>
          </w:p>
        </w:tc>
        <w:tc>
          <w:tcPr>
            <w:tcW w:type="dxa" w:w="6803"/>
          </w:tcPr>
          <w:p>
            <w:pPr>
              <w:spacing w:after="40" w:line="240" w:lineRule="auto"/>
            </w:pPr>
            <w:r>
              <w:rPr>
                <w:b w:val="0"/>
                <w:i w:val="0"/>
                <w:sz w:val="17"/>
              </w:rPr>
              <w:t>Policyholders, claimants, beneficiaries, witnesses, and employees of the Controller</w:t>
            </w:r>
          </w:p>
        </w:tc>
      </w:tr>
      <w:tr>
        <w:trPr>
          <w:cantSplit/>
        </w:trPr>
        <w:tc>
          <w:tcPr>
            <w:tcW w:type="dxa" w:w="2608"/>
          </w:tcPr>
          <w:p>
            <w:pPr>
              <w:spacing w:after="40" w:line="240" w:lineRule="auto"/>
            </w:pPr>
            <w:r>
              <w:rPr>
                <w:b w:val="0"/>
                <w:i w:val="0"/>
                <w:sz w:val="17"/>
              </w:rPr>
              <w:t>Frequency of processing</w:t>
            </w:r>
          </w:p>
        </w:tc>
        <w:tc>
          <w:tcPr>
            <w:tcW w:type="dxa" w:w="6803"/>
          </w:tcPr>
          <w:p>
            <w:pPr>
              <w:spacing w:after="40" w:line="240" w:lineRule="auto"/>
            </w:pPr>
            <w:r>
              <w:rPr>
                <w:b w:val="0"/>
                <w:i w:val="0"/>
                <w:sz w:val="17"/>
              </w:rPr>
              <w:t>Continuous during the term of the MSA, with peak volumes during quarterly claims cycles</w:t>
            </w:r>
          </w:p>
        </w:tc>
      </w:tr>
      <w:tr>
        <w:trPr>
          <w:cantSplit/>
        </w:trPr>
        <w:tc>
          <w:tcPr>
            <w:tcW w:type="dxa" w:w="2608"/>
          </w:tcPr>
          <w:p>
            <w:pPr>
              <w:spacing w:after="40" w:line="240" w:lineRule="auto"/>
            </w:pPr>
            <w:r>
              <w:rPr>
                <w:b w:val="0"/>
                <w:i w:val="0"/>
                <w:sz w:val="17"/>
              </w:rPr>
              <w:t>Special category data</w:t>
            </w:r>
          </w:p>
        </w:tc>
        <w:tc>
          <w:tcPr>
            <w:tcW w:type="dxa" w:w="6803"/>
          </w:tcPr>
          <w:p>
            <w:pPr>
              <w:spacing w:after="40" w:line="240" w:lineRule="auto"/>
            </w:pPr>
            <w:r>
              <w:rPr>
                <w:b w:val="0"/>
                <w:i w:val="0"/>
                <w:sz w:val="17"/>
              </w:rPr>
              <w:t>Health data relating to claimants, processed under Article 9(2)(f) of the EU GDPR and subject to the additional safeguards in Schedule 3</w:t>
            </w:r>
          </w:p>
        </w:tc>
      </w:tr>
      <w:tr>
        <w:trPr>
          <w:cantSplit/>
        </w:trPr>
        <w:tc>
          <w:tcPr>
            <w:tcW w:type="dxa" w:w="2608"/>
          </w:tcPr>
          <w:p>
            <w:pPr>
              <w:spacing w:after="40" w:line="240" w:lineRule="auto"/>
            </w:pPr>
            <w:r>
              <w:rPr>
                <w:b w:val="0"/>
                <w:i w:val="0"/>
                <w:sz w:val="17"/>
              </w:rPr>
              <w:t>Locations of processing</w:t>
            </w:r>
          </w:p>
        </w:tc>
        <w:tc>
          <w:tcPr>
            <w:tcW w:type="dxa" w:w="6803"/>
          </w:tcPr>
          <w:p>
            <w:pPr>
              <w:spacing w:after="40" w:line="240" w:lineRule="auto"/>
            </w:pPr>
            <w:r>
              <w:rPr>
                <w:b w:val="0"/>
                <w:i w:val="0"/>
                <w:sz w:val="17"/>
              </w:rPr>
              <w:t>United States (Virginia), Germany (Frankfurt) and the United Kingdom (London)</w:t>
            </w:r>
          </w:p>
        </w:tc>
      </w:tr>
      <w:tr>
        <w:trPr>
          <w:cantSplit/>
        </w:trPr>
        <w:tc>
          <w:tcPr>
            <w:tcW w:type="dxa" w:w="2608"/>
          </w:tcPr>
          <w:p>
            <w:pPr>
              <w:spacing w:after="40" w:line="240" w:lineRule="auto"/>
            </w:pPr>
            <w:r>
              <w:rPr>
                <w:b w:val="0"/>
                <w:i w:val="0"/>
                <w:sz w:val="17"/>
              </w:rPr>
              <w:t>Deletion</w:t>
            </w:r>
          </w:p>
        </w:tc>
        <w:tc>
          <w:tcPr>
            <w:tcW w:type="dxa" w:w="6803"/>
          </w:tcPr>
          <w:p>
            <w:pPr>
              <w:spacing w:after="40" w:line="240" w:lineRule="auto"/>
            </w:pPr>
            <w:r>
              <w:rPr>
                <w:b w:val="0"/>
                <w:i w:val="0"/>
                <w:sz w:val="17"/>
              </w:rPr>
              <w:t>Within ninety (90) days of termination, in accordance with the backup rotation</w:t>
            </w:r>
          </w:p>
        </w:tc>
      </w:tr>
      <w:tr>
        <w:trPr>
          <w:cantSplit/>
        </w:trPr>
        <w:tc>
          <w:tcPr>
            <w:tcW w:type="dxa" w:w="2608"/>
          </w:tcPr>
          <w:p>
            <w:pPr>
              <w:spacing w:after="40" w:line="240" w:lineRule="auto"/>
            </w:pPr>
            <w:r>
              <w:rPr>
                <w:b w:val="0"/>
                <w:i w:val="0"/>
                <w:sz w:val="17"/>
              </w:rPr>
              <w:t>Transfer mechanism</w:t>
            </w:r>
          </w:p>
        </w:tc>
        <w:tc>
          <w:tcPr>
            <w:tcW w:type="dxa" w:w="6803"/>
          </w:tcPr>
          <w:p>
            <w:pPr>
              <w:spacing w:after="40" w:line="240" w:lineRule="auto"/>
            </w:pPr>
            <w:r>
              <w:rPr>
                <w:b w:val="0"/>
                <w:i w:val="0"/>
                <w:sz w:val="17"/>
              </w:rPr>
              <w:t>As set out in Schedule 2 for each Sub-processor</w:t>
            </w:r>
          </w:p>
        </w:tc>
      </w:tr>
    </w:tbl>
    <w:p>
      <w:pPr>
        <w:spacing w:after="40"/>
      </w:pPr>
    </w:p>
    <w:p>
      <w:pPr>
        <w:spacing w:after="0"/>
      </w:pPr>
      <w:r>
        <w:br w:type="page"/>
      </w:r>
    </w:p>
    <w:p>
      <w:pPr>
        <w:pStyle w:val="Heading1"/>
      </w:pPr>
      <w:r>
        <w:t>Schedule 2 — Approved Sub-processors</w:t>
      </w:r>
    </w:p>
    <w:p>
      <w:r>
        <w:rPr>
          <w:b w:val="0"/>
          <w:i w:val="0"/>
        </w:rPr>
        <w:t>The approved Sub-processors as at the Effective Date are set out below.</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2353"/>
        <w:gridCol w:w="2353"/>
        <w:gridCol w:w="2353"/>
        <w:gridCol w:w="2353"/>
      </w:tblGrid>
      <w:tr>
        <w:trPr>
          <w:tblHeader w:val="true"/>
        </w:trPr>
        <w:tc>
          <w:tcPr>
            <w:tcW w:type="dxa" w:w="2608"/>
            <w:shd w:val="clear" w:color="auto" w:fill="1F3864"/>
          </w:tcPr>
          <w:p>
            <w:pPr>
              <w:spacing w:after="0" w:line="240" w:lineRule="auto"/>
            </w:pPr>
            <w:r>
              <w:rPr>
                <w:b/>
                <w:color w:val="FFFFFF"/>
                <w:sz w:val="17"/>
              </w:rPr>
              <w:t>Sub-processor</w:t>
            </w:r>
          </w:p>
        </w:tc>
        <w:tc>
          <w:tcPr>
            <w:tcW w:type="dxa" w:w="2835"/>
            <w:shd w:val="clear" w:color="auto" w:fill="1F3864"/>
          </w:tcPr>
          <w:p>
            <w:pPr>
              <w:spacing w:after="0" w:line="240" w:lineRule="auto"/>
            </w:pPr>
            <w:r>
              <w:rPr>
                <w:b/>
                <w:color w:val="FFFFFF"/>
                <w:sz w:val="17"/>
              </w:rPr>
              <w:t>Processing</w:t>
            </w:r>
          </w:p>
        </w:tc>
        <w:tc>
          <w:tcPr>
            <w:tcW w:type="dxa" w:w="2041"/>
            <w:shd w:val="clear" w:color="auto" w:fill="1F3864"/>
          </w:tcPr>
          <w:p>
            <w:pPr>
              <w:spacing w:after="0" w:line="240" w:lineRule="auto"/>
            </w:pPr>
            <w:r>
              <w:rPr>
                <w:b/>
                <w:color w:val="FFFFFF"/>
                <w:sz w:val="17"/>
              </w:rPr>
              <w:t>Location</w:t>
            </w:r>
          </w:p>
        </w:tc>
        <w:tc>
          <w:tcPr>
            <w:tcW w:type="dxa" w:w="1928"/>
            <w:shd w:val="clear" w:color="auto" w:fill="1F3864"/>
          </w:tcPr>
          <w:p>
            <w:pPr>
              <w:spacing w:after="0" w:line="240" w:lineRule="auto"/>
            </w:pPr>
            <w:r>
              <w:rPr>
                <w:b/>
                <w:color w:val="FFFFFF"/>
                <w:sz w:val="17"/>
              </w:rPr>
              <w:t>Transfer mechanism</w:t>
            </w:r>
          </w:p>
        </w:tc>
      </w:tr>
      <w:tr>
        <w:trPr>
          <w:cantSplit/>
        </w:trPr>
        <w:tc>
          <w:tcPr>
            <w:tcW w:type="dxa" w:w="2608"/>
          </w:tcPr>
          <w:p>
            <w:pPr>
              <w:spacing w:after="40" w:line="240" w:lineRule="auto"/>
            </w:pPr>
            <w:r>
              <w:rPr>
                <w:b w:val="0"/>
                <w:i w:val="0"/>
                <w:sz w:val="17"/>
              </w:rPr>
              <w:t>Vellmore Cloud Services, Inc.</w:t>
            </w:r>
          </w:p>
        </w:tc>
        <w:tc>
          <w:tcPr>
            <w:tcW w:type="dxa" w:w="2835"/>
          </w:tcPr>
          <w:p>
            <w:pPr>
              <w:spacing w:after="40" w:line="240" w:lineRule="auto"/>
            </w:pPr>
            <w:r>
              <w:rPr>
                <w:b w:val="0"/>
                <w:i w:val="0"/>
                <w:sz w:val="17"/>
              </w:rPr>
              <w:t>Cloud hosting and infrastructure</w:t>
            </w:r>
          </w:p>
        </w:tc>
        <w:tc>
          <w:tcPr>
            <w:tcW w:type="dxa" w:w="2041"/>
          </w:tcPr>
          <w:p>
            <w:pPr>
              <w:spacing w:after="40" w:line="240" w:lineRule="auto"/>
            </w:pPr>
            <w:r>
              <w:rPr>
                <w:b w:val="0"/>
                <w:i w:val="0"/>
                <w:sz w:val="17"/>
              </w:rPr>
              <w:t>United States (Virginia)</w:t>
            </w:r>
          </w:p>
        </w:tc>
        <w:tc>
          <w:tcPr>
            <w:tcW w:type="dxa" w:w="1928"/>
          </w:tcPr>
          <w:p>
            <w:pPr>
              <w:spacing w:after="40" w:line="240" w:lineRule="auto"/>
            </w:pPr>
            <w:r>
              <w:rPr>
                <w:b w:val="0"/>
                <w:i w:val="0"/>
                <w:sz w:val="17"/>
              </w:rPr>
              <w:t>None recorded</w:t>
            </w:r>
          </w:p>
        </w:tc>
      </w:tr>
      <w:tr>
        <w:trPr>
          <w:cantSplit/>
        </w:trPr>
        <w:tc>
          <w:tcPr>
            <w:tcW w:type="dxa" w:w="2608"/>
          </w:tcPr>
          <w:p>
            <w:pPr>
              <w:spacing w:after="40" w:line="240" w:lineRule="auto"/>
            </w:pPr>
            <w:r>
              <w:rPr>
                <w:b w:val="0"/>
                <w:i w:val="0"/>
                <w:sz w:val="17"/>
              </w:rPr>
              <w:t>Pellworth Mail Systems Ltd</w:t>
            </w:r>
          </w:p>
        </w:tc>
        <w:tc>
          <w:tcPr>
            <w:tcW w:type="dxa" w:w="2835"/>
          </w:tcPr>
          <w:p>
            <w:pPr>
              <w:spacing w:after="40" w:line="240" w:lineRule="auto"/>
            </w:pPr>
            <w:r>
              <w:rPr>
                <w:b w:val="0"/>
                <w:i w:val="0"/>
                <w:sz w:val="17"/>
              </w:rPr>
              <w:t>Transactional email delivery</w:t>
            </w:r>
          </w:p>
        </w:tc>
        <w:tc>
          <w:tcPr>
            <w:tcW w:type="dxa" w:w="2041"/>
          </w:tcPr>
          <w:p>
            <w:pPr>
              <w:spacing w:after="40" w:line="240" w:lineRule="auto"/>
            </w:pPr>
            <w:r>
              <w:rPr>
                <w:b w:val="0"/>
                <w:i w:val="0"/>
                <w:sz w:val="17"/>
              </w:rPr>
              <w:t>United Kingdom</w:t>
            </w:r>
          </w:p>
        </w:tc>
        <w:tc>
          <w:tcPr>
            <w:tcW w:type="dxa" w:w="1928"/>
          </w:tcPr>
          <w:p>
            <w:pPr>
              <w:spacing w:after="40" w:line="240" w:lineRule="auto"/>
            </w:pPr>
            <w:r>
              <w:rPr>
                <w:b w:val="0"/>
                <w:i w:val="0"/>
                <w:sz w:val="17"/>
              </w:rPr>
              <w:t>Not applicable — UK domestic</w:t>
            </w:r>
          </w:p>
        </w:tc>
      </w:tr>
      <w:tr>
        <w:trPr>
          <w:cantSplit/>
        </w:trPr>
        <w:tc>
          <w:tcPr>
            <w:tcW w:type="dxa" w:w="2608"/>
          </w:tcPr>
          <w:p>
            <w:pPr>
              <w:spacing w:after="40" w:line="240" w:lineRule="auto"/>
            </w:pPr>
            <w:r>
              <w:rPr>
                <w:b w:val="0"/>
                <w:i w:val="0"/>
                <w:sz w:val="17"/>
              </w:rPr>
              <w:t>Lindenholt Analytics GmbH</w:t>
            </w:r>
          </w:p>
        </w:tc>
        <w:tc>
          <w:tcPr>
            <w:tcW w:type="dxa" w:w="2835"/>
          </w:tcPr>
          <w:p>
            <w:pPr>
              <w:spacing w:after="40" w:line="240" w:lineRule="auto"/>
            </w:pPr>
            <w:r>
              <w:rPr>
                <w:b w:val="0"/>
                <w:i w:val="0"/>
                <w:sz w:val="17"/>
              </w:rPr>
              <w:t>Product analytics and telemetry</w:t>
            </w:r>
          </w:p>
        </w:tc>
        <w:tc>
          <w:tcPr>
            <w:tcW w:type="dxa" w:w="2041"/>
          </w:tcPr>
          <w:p>
            <w:pPr>
              <w:spacing w:after="40" w:line="240" w:lineRule="auto"/>
            </w:pPr>
            <w:r>
              <w:rPr>
                <w:b w:val="0"/>
                <w:i w:val="0"/>
                <w:sz w:val="17"/>
              </w:rPr>
              <w:t>Germany</w:t>
            </w:r>
          </w:p>
        </w:tc>
        <w:tc>
          <w:tcPr>
            <w:tcW w:type="dxa" w:w="1928"/>
          </w:tcPr>
          <w:p>
            <w:pPr>
              <w:spacing w:after="40" w:line="240" w:lineRule="auto"/>
            </w:pPr>
            <w:r>
              <w:rPr>
                <w:b w:val="0"/>
                <w:i w:val="0"/>
                <w:sz w:val="17"/>
              </w:rPr>
              <w:t>Not applicable — EU domestic</w:t>
            </w:r>
          </w:p>
        </w:tc>
      </w:tr>
      <w:tr>
        <w:trPr>
          <w:cantSplit/>
        </w:trPr>
        <w:tc>
          <w:tcPr>
            <w:tcW w:type="dxa" w:w="2608"/>
          </w:tcPr>
          <w:p>
            <w:pPr>
              <w:spacing w:after="40" w:line="240" w:lineRule="auto"/>
            </w:pPr>
            <w:r>
              <w:rPr>
                <w:b w:val="0"/>
                <w:i w:val="0"/>
                <w:sz w:val="17"/>
              </w:rPr>
              <w:t>Bramber Support Services Limited</w:t>
            </w:r>
          </w:p>
        </w:tc>
        <w:tc>
          <w:tcPr>
            <w:tcW w:type="dxa" w:w="2835"/>
          </w:tcPr>
          <w:p>
            <w:pPr>
              <w:spacing w:after="40" w:line="240" w:lineRule="auto"/>
            </w:pPr>
            <w:r>
              <w:rPr>
                <w:b w:val="0"/>
                <w:i w:val="0"/>
                <w:sz w:val="17"/>
              </w:rPr>
              <w:t>Tier 2 support (Bramber Affiliate)</w:t>
            </w:r>
          </w:p>
        </w:tc>
        <w:tc>
          <w:tcPr>
            <w:tcW w:type="dxa" w:w="2041"/>
          </w:tcPr>
          <w:p>
            <w:pPr>
              <w:spacing w:after="40" w:line="240" w:lineRule="auto"/>
            </w:pPr>
            <w:r>
              <w:rPr>
                <w:b w:val="0"/>
                <w:i w:val="0"/>
                <w:sz w:val="17"/>
              </w:rPr>
              <w:t>United Kingdom</w:t>
            </w:r>
          </w:p>
        </w:tc>
        <w:tc>
          <w:tcPr>
            <w:tcW w:type="dxa" w:w="1928"/>
          </w:tcPr>
          <w:p>
            <w:pPr>
              <w:spacing w:after="40" w:line="240" w:lineRule="auto"/>
            </w:pPr>
            <w:r>
              <w:rPr>
                <w:b w:val="0"/>
                <w:i w:val="0"/>
                <w:sz w:val="17"/>
              </w:rPr>
              <w:t>Intra-group data transfer agreement</w:t>
            </w:r>
          </w:p>
        </w:tc>
      </w:tr>
    </w:tbl>
    <w:p>
      <w:pPr>
        <w:spacing w:after="40"/>
      </w:pPr>
    </w:p>
    <w:p>
      <w:r>
        <w:rPr>
          <w:b/>
          <w:i w:val="0"/>
        </w:rPr>
        <w:t>Approval condition.</w:t>
      </w:r>
      <w:r>
        <w:rPr>
          <w:b w:val="0"/>
          <w:i w:val="0"/>
        </w:rPr>
        <w:t xml:space="preserve"> Controller's prior written consent is required for each sub-processor, including replacements. Processor shall not engage a sub-processor until the consent is recorded in writing.</w:t>
      </w:r>
    </w:p>
    <w:p>
      <w:r>
        <w:rPr>
          <w:b w:val="0"/>
          <w:i w:val="0"/>
        </w:rPr>
        <w:t>The Processor shall review each Sub-processor's security measures annually and shall notify the Controller if a Sub-processor's location or processing changes.</w:t>
      </w:r>
    </w:p>
    <w:p>
      <w:pPr>
        <w:spacing w:after="0"/>
      </w:pPr>
      <w:r>
        <w:br w:type="page"/>
      </w:r>
    </w:p>
    <w:p>
      <w:pPr>
        <w:pStyle w:val="Heading1"/>
      </w:pPr>
      <w:r>
        <w:t>Schedule 3 — Technical and Organisational Measures</w:t>
      </w:r>
    </w:p>
    <w:p>
      <w:r>
        <w:rPr>
          <w:b w:val="0"/>
          <w:i w:val="0"/>
        </w:rPr>
        <w:t>The technical and organisational measures maintained by the Processor are set out below.</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tblHeader w:val="true"/>
        </w:trPr>
        <w:tc>
          <w:tcPr>
            <w:tcW w:type="dxa" w:w="2381"/>
            <w:shd w:val="clear" w:color="auto" w:fill="1F3864"/>
          </w:tcPr>
          <w:p>
            <w:pPr>
              <w:spacing w:after="0" w:line="240" w:lineRule="auto"/>
            </w:pPr>
            <w:r>
              <w:rPr>
                <w:b/>
                <w:color w:val="FFFFFF"/>
                <w:sz w:val="17"/>
              </w:rPr>
              <w:t>Area</w:t>
            </w:r>
          </w:p>
        </w:tc>
        <w:tc>
          <w:tcPr>
            <w:tcW w:type="dxa" w:w="7030"/>
            <w:shd w:val="clear" w:color="auto" w:fill="1F3864"/>
          </w:tcPr>
          <w:p>
            <w:pPr>
              <w:spacing w:after="0" w:line="240" w:lineRule="auto"/>
            </w:pPr>
            <w:r>
              <w:rPr>
                <w:b/>
                <w:color w:val="FFFFFF"/>
                <w:sz w:val="17"/>
              </w:rPr>
              <w:t>Measure</w:t>
            </w:r>
          </w:p>
        </w:tc>
      </w:tr>
      <w:tr>
        <w:trPr>
          <w:cantSplit/>
        </w:trPr>
        <w:tc>
          <w:tcPr>
            <w:tcW w:type="dxa" w:w="2381"/>
          </w:tcPr>
          <w:p>
            <w:pPr>
              <w:spacing w:after="40" w:line="240" w:lineRule="auto"/>
            </w:pPr>
            <w:r>
              <w:rPr>
                <w:b w:val="0"/>
                <w:i w:val="0"/>
                <w:sz w:val="17"/>
              </w:rPr>
              <w:t>Access control</w:t>
            </w:r>
          </w:p>
        </w:tc>
        <w:tc>
          <w:tcPr>
            <w:tcW w:type="dxa" w:w="7030"/>
          </w:tcPr>
          <w:p>
            <w:pPr>
              <w:spacing w:after="40" w:line="240" w:lineRule="auto"/>
            </w:pPr>
            <w:r>
              <w:rPr>
                <w:b w:val="0"/>
                <w:i w:val="0"/>
                <w:sz w:val="17"/>
              </w:rPr>
              <w:t>Role-based access, least privilege, unique user accounts and multi-factor authentication for administrative access.</w:t>
            </w:r>
          </w:p>
        </w:tc>
      </w:tr>
      <w:tr>
        <w:trPr>
          <w:cantSplit/>
        </w:trPr>
        <w:tc>
          <w:tcPr>
            <w:tcW w:type="dxa" w:w="2381"/>
          </w:tcPr>
          <w:p>
            <w:pPr>
              <w:spacing w:after="40" w:line="240" w:lineRule="auto"/>
            </w:pPr>
            <w:r>
              <w:rPr>
                <w:b w:val="0"/>
                <w:i w:val="0"/>
                <w:sz w:val="17"/>
              </w:rPr>
              <w:t>Encryption</w:t>
            </w:r>
          </w:p>
        </w:tc>
        <w:tc>
          <w:tcPr>
            <w:tcW w:type="dxa" w:w="7030"/>
          </w:tcPr>
          <w:p>
            <w:pPr>
              <w:spacing w:after="40" w:line="240" w:lineRule="auto"/>
            </w:pPr>
            <w:r>
              <w:rPr>
                <w:b w:val="0"/>
                <w:i w:val="0"/>
                <w:sz w:val="17"/>
              </w:rPr>
              <w:t>TLS 1.2 or higher in transit and AES-256 encryption at rest for Personal Data.</w:t>
            </w:r>
          </w:p>
        </w:tc>
      </w:tr>
      <w:tr>
        <w:trPr>
          <w:cantSplit/>
        </w:trPr>
        <w:tc>
          <w:tcPr>
            <w:tcW w:type="dxa" w:w="2381"/>
          </w:tcPr>
          <w:p>
            <w:pPr>
              <w:spacing w:after="40" w:line="240" w:lineRule="auto"/>
            </w:pPr>
            <w:r>
              <w:rPr>
                <w:b w:val="0"/>
                <w:i w:val="0"/>
                <w:sz w:val="17"/>
              </w:rPr>
              <w:t>Logging</w:t>
            </w:r>
          </w:p>
        </w:tc>
        <w:tc>
          <w:tcPr>
            <w:tcW w:type="dxa" w:w="7030"/>
          </w:tcPr>
          <w:p>
            <w:pPr>
              <w:spacing w:after="40" w:line="240" w:lineRule="auto"/>
            </w:pPr>
            <w:r>
              <w:rPr>
                <w:b w:val="0"/>
                <w:i w:val="0"/>
                <w:sz w:val="17"/>
              </w:rPr>
              <w:t>Centralised logging of access to Personal Data, retained for at least 12 months and monitored for anomalies.</w:t>
            </w:r>
          </w:p>
        </w:tc>
      </w:tr>
      <w:tr>
        <w:trPr>
          <w:cantSplit/>
        </w:trPr>
        <w:tc>
          <w:tcPr>
            <w:tcW w:type="dxa" w:w="2381"/>
          </w:tcPr>
          <w:p>
            <w:pPr>
              <w:spacing w:after="40" w:line="240" w:lineRule="auto"/>
            </w:pPr>
            <w:r>
              <w:rPr>
                <w:b w:val="0"/>
                <w:i w:val="0"/>
                <w:sz w:val="17"/>
              </w:rPr>
              <w:t>Network security</w:t>
            </w:r>
          </w:p>
        </w:tc>
        <w:tc>
          <w:tcPr>
            <w:tcW w:type="dxa" w:w="7030"/>
          </w:tcPr>
          <w:p>
            <w:pPr>
              <w:spacing w:after="40" w:line="240" w:lineRule="auto"/>
            </w:pPr>
            <w:r>
              <w:rPr>
                <w:b w:val="0"/>
                <w:i w:val="0"/>
                <w:sz w:val="17"/>
              </w:rPr>
              <w:t>Segmented environments, web application firewalls, intrusion detection and quarterly external vulnerability scans.</w:t>
            </w:r>
          </w:p>
        </w:tc>
      </w:tr>
      <w:tr>
        <w:trPr>
          <w:cantSplit/>
        </w:trPr>
        <w:tc>
          <w:tcPr>
            <w:tcW w:type="dxa" w:w="2381"/>
          </w:tcPr>
          <w:p>
            <w:pPr>
              <w:spacing w:after="40" w:line="240" w:lineRule="auto"/>
            </w:pPr>
            <w:r>
              <w:rPr>
                <w:b w:val="0"/>
                <w:i w:val="0"/>
                <w:sz w:val="17"/>
              </w:rPr>
              <w:t>Vulnerability management</w:t>
            </w:r>
          </w:p>
        </w:tc>
        <w:tc>
          <w:tcPr>
            <w:tcW w:type="dxa" w:w="7030"/>
          </w:tcPr>
          <w:p>
            <w:pPr>
              <w:spacing w:after="40" w:line="240" w:lineRule="auto"/>
            </w:pPr>
            <w:r>
              <w:rPr>
                <w:b w:val="0"/>
                <w:i w:val="0"/>
                <w:sz w:val="17"/>
              </w:rPr>
              <w:t>Monthly authenticated scanning and remediation of critical vulnerabilities within 15 days.</w:t>
            </w:r>
          </w:p>
        </w:tc>
      </w:tr>
      <w:tr>
        <w:trPr>
          <w:cantSplit/>
        </w:trPr>
        <w:tc>
          <w:tcPr>
            <w:tcW w:type="dxa" w:w="2381"/>
          </w:tcPr>
          <w:p>
            <w:pPr>
              <w:spacing w:after="40" w:line="240" w:lineRule="auto"/>
            </w:pPr>
            <w:r>
              <w:rPr>
                <w:b w:val="0"/>
                <w:i w:val="0"/>
                <w:sz w:val="17"/>
              </w:rPr>
              <w:t>Secure development</w:t>
            </w:r>
          </w:p>
        </w:tc>
        <w:tc>
          <w:tcPr>
            <w:tcW w:type="dxa" w:w="7030"/>
          </w:tcPr>
          <w:p>
            <w:pPr>
              <w:spacing w:after="40" w:line="240" w:lineRule="auto"/>
            </w:pPr>
            <w:r>
              <w:rPr>
                <w:b w:val="0"/>
                <w:i w:val="0"/>
                <w:sz w:val="17"/>
              </w:rPr>
              <w:t>Secure coding standards, peer review, dependency scanning and annual security training.</w:t>
            </w:r>
          </w:p>
        </w:tc>
      </w:tr>
      <w:tr>
        <w:trPr>
          <w:cantSplit/>
        </w:trPr>
        <w:tc>
          <w:tcPr>
            <w:tcW w:type="dxa" w:w="2381"/>
          </w:tcPr>
          <w:p>
            <w:pPr>
              <w:spacing w:after="40" w:line="240" w:lineRule="auto"/>
            </w:pPr>
            <w:r>
              <w:rPr>
                <w:b w:val="0"/>
                <w:i w:val="0"/>
                <w:sz w:val="17"/>
              </w:rPr>
              <w:t>Business continuity</w:t>
            </w:r>
          </w:p>
        </w:tc>
        <w:tc>
          <w:tcPr>
            <w:tcW w:type="dxa" w:w="7030"/>
          </w:tcPr>
          <w:p>
            <w:pPr>
              <w:spacing w:after="40" w:line="240" w:lineRule="auto"/>
            </w:pPr>
            <w:r>
              <w:rPr>
                <w:b w:val="0"/>
                <w:i w:val="0"/>
                <w:sz w:val="17"/>
              </w:rPr>
              <w:t>Documented disaster recovery plan, tested annually, with a recovery time objective of four hours for the production platform.</w:t>
            </w:r>
          </w:p>
        </w:tc>
      </w:tr>
      <w:tr>
        <w:trPr>
          <w:cantSplit/>
        </w:trPr>
        <w:tc>
          <w:tcPr>
            <w:tcW w:type="dxa" w:w="2381"/>
          </w:tcPr>
          <w:p>
            <w:pPr>
              <w:spacing w:after="40" w:line="240" w:lineRule="auto"/>
            </w:pPr>
            <w:r>
              <w:rPr>
                <w:b w:val="0"/>
                <w:i w:val="0"/>
                <w:sz w:val="17"/>
              </w:rPr>
              <w:t>Incident management</w:t>
            </w:r>
          </w:p>
        </w:tc>
        <w:tc>
          <w:tcPr>
            <w:tcW w:type="dxa" w:w="7030"/>
          </w:tcPr>
          <w:p>
            <w:pPr>
              <w:spacing w:after="40" w:line="240" w:lineRule="auto"/>
            </w:pPr>
            <w:r>
              <w:rPr>
                <w:b w:val="0"/>
                <w:i w:val="0"/>
                <w:sz w:val="17"/>
              </w:rPr>
              <w:t>Documented incident response plan, tested annually, with root-cause analysis and remediation tracking.</w:t>
            </w:r>
          </w:p>
        </w:tc>
      </w:tr>
      <w:tr>
        <w:trPr>
          <w:cantSplit/>
        </w:trPr>
        <w:tc>
          <w:tcPr>
            <w:tcW w:type="dxa" w:w="2381"/>
          </w:tcPr>
          <w:p>
            <w:pPr>
              <w:spacing w:after="40" w:line="240" w:lineRule="auto"/>
            </w:pPr>
            <w:r>
              <w:rPr>
                <w:b w:val="0"/>
                <w:i w:val="0"/>
                <w:sz w:val="17"/>
              </w:rPr>
              <w:t>Personnel security</w:t>
            </w:r>
          </w:p>
        </w:tc>
        <w:tc>
          <w:tcPr>
            <w:tcW w:type="dxa" w:w="7030"/>
          </w:tcPr>
          <w:p>
            <w:pPr>
              <w:spacing w:after="40" w:line="240" w:lineRule="auto"/>
            </w:pPr>
            <w:r>
              <w:rPr>
                <w:b w:val="0"/>
                <w:i w:val="0"/>
                <w:sz w:val="17"/>
              </w:rPr>
              <w:t>Background checks, confidentiality undertakings and annual privacy and security training.</w:t>
            </w:r>
          </w:p>
        </w:tc>
      </w:tr>
      <w:tr>
        <w:trPr>
          <w:cantSplit/>
        </w:trPr>
        <w:tc>
          <w:tcPr>
            <w:tcW w:type="dxa" w:w="2381"/>
          </w:tcPr>
          <w:p>
            <w:pPr>
              <w:spacing w:after="40" w:line="240" w:lineRule="auto"/>
            </w:pPr>
            <w:r>
              <w:rPr>
                <w:b w:val="0"/>
                <w:i w:val="0"/>
                <w:sz w:val="17"/>
              </w:rPr>
              <w:t>Physical security</w:t>
            </w:r>
          </w:p>
        </w:tc>
        <w:tc>
          <w:tcPr>
            <w:tcW w:type="dxa" w:w="7030"/>
          </w:tcPr>
          <w:p>
            <w:pPr>
              <w:spacing w:after="40" w:line="240" w:lineRule="auto"/>
            </w:pPr>
            <w:r>
              <w:rPr>
                <w:b w:val="0"/>
                <w:i w:val="0"/>
                <w:sz w:val="17"/>
              </w:rPr>
              <w:t>ISO 27001 certified data centres with access control, environmental monitoring and visitor logging.</w:t>
            </w:r>
          </w:p>
        </w:tc>
      </w:tr>
      <w:tr>
        <w:trPr>
          <w:cantSplit/>
        </w:trPr>
        <w:tc>
          <w:tcPr>
            <w:tcW w:type="dxa" w:w="2381"/>
          </w:tcPr>
          <w:p>
            <w:pPr>
              <w:spacing w:after="40" w:line="240" w:lineRule="auto"/>
            </w:pPr>
            <w:r>
              <w:rPr>
                <w:b w:val="0"/>
                <w:i w:val="0"/>
                <w:sz w:val="17"/>
              </w:rPr>
              <w:t>Supplier management</w:t>
            </w:r>
          </w:p>
        </w:tc>
        <w:tc>
          <w:tcPr>
            <w:tcW w:type="dxa" w:w="7030"/>
          </w:tcPr>
          <w:p>
            <w:pPr>
              <w:spacing w:after="40" w:line="240" w:lineRule="auto"/>
            </w:pPr>
            <w:r>
              <w:rPr>
                <w:b w:val="0"/>
                <w:i w:val="0"/>
                <w:sz w:val="17"/>
              </w:rPr>
              <w:t>Security due diligence and flow-down obligations for Sub-processors.</w:t>
            </w:r>
          </w:p>
        </w:tc>
      </w:tr>
      <w:tr>
        <w:trPr>
          <w:cantSplit/>
        </w:trPr>
        <w:tc>
          <w:tcPr>
            <w:tcW w:type="dxa" w:w="2381"/>
          </w:tcPr>
          <w:p>
            <w:pPr>
              <w:spacing w:after="40" w:line="240" w:lineRule="auto"/>
            </w:pPr>
            <w:r>
              <w:rPr>
                <w:b w:val="0"/>
                <w:i w:val="0"/>
                <w:sz w:val="17"/>
              </w:rPr>
              <w:t>Data minimisation</w:t>
            </w:r>
          </w:p>
        </w:tc>
        <w:tc>
          <w:tcPr>
            <w:tcW w:type="dxa" w:w="7030"/>
          </w:tcPr>
          <w:p>
            <w:pPr>
              <w:spacing w:after="40" w:line="240" w:lineRule="auto"/>
            </w:pPr>
            <w:r>
              <w:rPr>
                <w:b w:val="0"/>
                <w:i w:val="0"/>
                <w:sz w:val="17"/>
              </w:rPr>
              <w:t>Production data is not used in test environments; test data is synthetic or masked, and access to special category data is restricted to claims operations roles.</w:t>
            </w:r>
          </w:p>
        </w:tc>
      </w:tr>
      <w:tr>
        <w:trPr>
          <w:cantSplit/>
        </w:trPr>
        <w:tc>
          <w:tcPr>
            <w:tcW w:type="dxa" w:w="2381"/>
          </w:tcPr>
          <w:p>
            <w:pPr>
              <w:spacing w:after="40" w:line="240" w:lineRule="auto"/>
            </w:pPr>
            <w:r>
              <w:rPr>
                <w:b w:val="0"/>
                <w:i w:val="0"/>
                <w:sz w:val="17"/>
              </w:rPr>
              <w:t>Backup and recovery</w:t>
            </w:r>
          </w:p>
        </w:tc>
        <w:tc>
          <w:tcPr>
            <w:tcW w:type="dxa" w:w="7030"/>
          </w:tcPr>
          <w:p>
            <w:pPr>
              <w:spacing w:after="40" w:line="240" w:lineRule="auto"/>
            </w:pPr>
            <w:r>
              <w:rPr>
                <w:b w:val="0"/>
                <w:i w:val="0"/>
                <w:sz w:val="17"/>
              </w:rPr>
              <w:t>Encrypted backups are taken daily, replicated to a second region and tested quarterly against the recovery time objective.</w:t>
            </w:r>
          </w:p>
        </w:tc>
      </w:tr>
      <w:tr>
        <w:trPr>
          <w:cantSplit/>
        </w:trPr>
        <w:tc>
          <w:tcPr>
            <w:tcW w:type="dxa" w:w="2381"/>
          </w:tcPr>
          <w:p>
            <w:pPr>
              <w:spacing w:after="40" w:line="240" w:lineRule="auto"/>
            </w:pPr>
            <w:r>
              <w:rPr>
                <w:b w:val="0"/>
                <w:i w:val="0"/>
                <w:sz w:val="17"/>
              </w:rPr>
              <w:t>Endpoint security</w:t>
            </w:r>
          </w:p>
        </w:tc>
        <w:tc>
          <w:tcPr>
            <w:tcW w:type="dxa" w:w="7030"/>
          </w:tcPr>
          <w:p>
            <w:pPr>
              <w:spacing w:after="40" w:line="240" w:lineRule="auto"/>
            </w:pPr>
            <w:r>
              <w:rPr>
                <w:b w:val="0"/>
                <w:i w:val="0"/>
                <w:sz w:val="17"/>
              </w:rPr>
              <w:t>Managed devices with disk encryption, endpoint detection and response, and automatic patching for critical updates.</w:t>
            </w:r>
          </w:p>
        </w:tc>
      </w:tr>
      <w:tr>
        <w:trPr>
          <w:cantSplit/>
        </w:trPr>
        <w:tc>
          <w:tcPr>
            <w:tcW w:type="dxa" w:w="2381"/>
          </w:tcPr>
          <w:p>
            <w:pPr>
              <w:spacing w:after="40" w:line="240" w:lineRule="auto"/>
            </w:pPr>
            <w:r>
              <w:rPr>
                <w:b w:val="0"/>
                <w:i w:val="0"/>
                <w:sz w:val="17"/>
              </w:rPr>
              <w:t>Certification</w:t>
            </w:r>
          </w:p>
        </w:tc>
        <w:tc>
          <w:tcPr>
            <w:tcW w:type="dxa" w:w="7030"/>
          </w:tcPr>
          <w:p>
            <w:pPr>
              <w:spacing w:after="40" w:line="240" w:lineRule="auto"/>
            </w:pPr>
            <w:r>
              <w:rPr>
                <w:b w:val="0"/>
                <w:i w:val="0"/>
                <w:sz w:val="17"/>
              </w:rPr>
              <w:t>ISO/IEC 27001 and SOC 2 Type II, renewed annually.</w:t>
            </w:r>
          </w:p>
        </w:tc>
      </w:tr>
    </w:tbl>
    <w:p>
      <w:pPr>
        <w:spacing w:after="40"/>
      </w:pPr>
    </w:p>
    <w:p>
      <w:pPr>
        <w:spacing w:after="0"/>
      </w:pPr>
      <w:r>
        <w:br w:type="page"/>
      </w:r>
    </w:p>
    <w:p>
      <w:r>
        <w:rPr>
          <w:b/>
          <w:i w:val="0"/>
        </w:rPr>
        <w:t>Agreed and accepted by the parties:</w:t>
      </w:r>
    </w:p>
    <w:p>
      <w:pPr>
        <w:spacing w:after="80"/>
      </w:pPr>
    </w:p>
    <w:tbl>
      <w:tblPr>
        <w:tblW w:type="auto" w:w="0"/>
        <w:tblLayout w:type="fixed"/>
        <w:tblCellMar>
          <w:top w:w="40" w:type="dxa"/>
          <w:left w:w="0" w:type="dxa"/>
          <w:bottom w:w="40" w:type="dxa"/>
          <w:right w:w="120" w:type="dxa"/>
        </w:tblCellMar>
        <w:tblLook w:firstColumn="1" w:firstRow="1" w:lastColumn="0" w:lastRow="0" w:noHBand="0" w:noVBand="1" w:val="04A0"/>
      </w:tblPr>
      <w:tblGrid>
        <w:gridCol w:w="4706"/>
        <w:gridCol w:w="4706"/>
      </w:tblGrid>
      <w:tr>
        <w:tc>
          <w:tcPr>
            <w:tcW w:type="dxa" w:w="4649"/>
          </w:tcPr>
          <w:p>
            <w:pPr>
              <w:spacing w:after="400"/>
            </w:pPr>
            <w:r>
              <w:rPr>
                <w:rFonts w:ascii="Arial" w:hAnsi="Arial"/>
                <w:b/>
                <w:sz w:val="20"/>
              </w:rPr>
              <w:t>Vantage Health GmbH</w:t>
            </w:r>
          </w:p>
          <w:p>
            <w:pPr>
              <w:spacing w:after="160"/>
            </w:pPr>
            <w:r>
              <w:rPr>
                <w:rFonts w:ascii="Arial" w:hAnsi="Arial"/>
                <w:sz w:val="18"/>
              </w:rPr>
              <w:t xml:space="preserve">Signature: </w:t>
            </w:r>
            <w:r>
              <w:rPr>
                <w:rFonts w:ascii="Arial" w:hAnsi="Arial"/>
                <w:sz w:val="18"/>
              </w:rPr>
              <w:t>______________________________</w:t>
            </w:r>
          </w:p>
          <w:p>
            <w:pPr>
              <w:spacing w:after="160"/>
            </w:pPr>
            <w:r>
              <w:rPr>
                <w:rFonts w:ascii="Arial" w:hAnsi="Arial"/>
                <w:sz w:val="18"/>
              </w:rPr>
              <w:t xml:space="preserve">Name: </w:t>
            </w:r>
            <w:r>
              <w:rPr>
                <w:rFonts w:ascii="Arial" w:hAnsi="Arial"/>
                <w:sz w:val="18"/>
              </w:rPr>
              <w:t>Dr. Katharina Vogl</w:t>
            </w:r>
          </w:p>
          <w:p>
            <w:pPr>
              <w:spacing w:after="160"/>
            </w:pPr>
            <w:r>
              <w:rPr>
                <w:rFonts w:ascii="Arial" w:hAnsi="Arial"/>
                <w:sz w:val="18"/>
              </w:rPr>
              <w:t xml:space="preserve">Title: </w:t>
            </w:r>
            <w:r>
              <w:rPr>
                <w:rFonts w:ascii="Arial" w:hAnsi="Arial"/>
                <w:sz w:val="18"/>
              </w:rPr>
              <w:t>Data Protection Officer</w:t>
            </w:r>
          </w:p>
          <w:p>
            <w:pPr>
              <w:spacing w:after="160"/>
            </w:pPr>
            <w:r>
              <w:rPr>
                <w:rFonts w:ascii="Arial" w:hAnsi="Arial"/>
                <w:sz w:val="18"/>
              </w:rPr>
              <w:t xml:space="preserve">Date: </w:t>
            </w:r>
            <w:r>
              <w:rPr>
                <w:rFonts w:ascii="Arial" w:hAnsi="Arial"/>
                <w:sz w:val="18"/>
              </w:rPr>
              <w:t>__________________</w:t>
            </w:r>
          </w:p>
        </w:tc>
        <w:tc>
          <w:tcPr>
            <w:tcW w:type="dxa" w:w="4649"/>
          </w:tcPr>
          <w:p>
            <w:pPr>
              <w:spacing w:after="400"/>
            </w:pPr>
            <w:r>
              <w:rPr>
                <w:rFonts w:ascii="Arial" w:hAnsi="Arial"/>
                <w:b/>
                <w:sz w:val="20"/>
              </w:rPr>
              <w:t>Bramber Software Limited</w:t>
            </w:r>
          </w:p>
          <w:p>
            <w:pPr>
              <w:spacing w:after="160"/>
            </w:pPr>
            <w:r>
              <w:rPr>
                <w:rFonts w:ascii="Arial" w:hAnsi="Arial"/>
                <w:sz w:val="18"/>
              </w:rPr>
              <w:t xml:space="preserve">Signature: </w:t>
            </w:r>
            <w:r>
              <w:rPr>
                <w:rFonts w:ascii="Arial" w:hAnsi="Arial"/>
                <w:sz w:val="18"/>
              </w:rPr>
              <w:t>______________________________</w:t>
            </w:r>
          </w:p>
          <w:p>
            <w:pPr>
              <w:spacing w:after="160"/>
            </w:pPr>
            <w:r>
              <w:rPr>
                <w:rFonts w:ascii="Arial" w:hAnsi="Arial"/>
                <w:sz w:val="18"/>
              </w:rPr>
              <w:t xml:space="preserve">Name: </w:t>
            </w:r>
            <w:r>
              <w:rPr>
                <w:rFonts w:ascii="Arial" w:hAnsi="Arial"/>
                <w:sz w:val="18"/>
              </w:rPr>
              <w:t>Elena Marchetti</w:t>
            </w:r>
          </w:p>
          <w:p>
            <w:pPr>
              <w:spacing w:after="160"/>
            </w:pPr>
            <w:r>
              <w:rPr>
                <w:rFonts w:ascii="Arial" w:hAnsi="Arial"/>
                <w:sz w:val="18"/>
              </w:rPr>
              <w:t xml:space="preserve">Title: </w:t>
            </w:r>
            <w:r>
              <w:rPr>
                <w:rFonts w:ascii="Arial" w:hAnsi="Arial"/>
                <w:sz w:val="18"/>
              </w:rPr>
              <w:t>Data Protection Officer</w:t>
            </w:r>
          </w:p>
          <w:p>
            <w:pPr>
              <w:spacing w:after="160"/>
            </w:pPr>
            <w:r>
              <w:rPr>
                <w:rFonts w:ascii="Arial" w:hAnsi="Arial"/>
                <w:sz w:val="18"/>
              </w:rPr>
              <w:t xml:space="preserve">Date: </w:t>
            </w:r>
            <w:r>
              <w:rPr>
                <w:rFonts w:ascii="Arial" w:hAnsi="Arial"/>
                <w:sz w:val="18"/>
              </w:rPr>
              <w:t>__________________</w:t>
            </w:r>
          </w:p>
        </w:tc>
      </w:tr>
    </w:tbl>
    <w:sectPr w:rsidR="00FC693F" w:rsidRPr="0006063C" w:rsidSect="00034616">
      <w:headerReference w:type="default" r:id="rId9"/>
      <w:footerReference w:type="default" r:id="rId10"/>
      <w:pgSz w:w="11906" w:h="16838"/>
      <w:pgMar w:top="1247" w:right="1247" w:bottom="1191"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Vantage Health GmbH / Bramber Software Limited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CONFIDENTIAL – Draft v2</w:t>
    </w:r>
    <w:r>
      <w:rPr>
        <w:color w:val="595959"/>
        <w:sz w:val="16"/>
      </w:rPr>
      <w:tab/>
      <w:t>Vantage Health GmbH — Data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0">
    <w:multiLevelType w:val="multilevel"/>
    <w:nsid w:val="2A7C31B4"/>
    <w:lvl w:ilvl="0">
      <w:start w:val="1"/>
      <w:numFmt w:val="decimal"/>
      <w:lvlText w:val="%1."/>
      <w:lvlJc w:val="left"/>
      <w:pPr>
        <w:ind w:left="480" w:hanging="480"/>
      </w:pPr>
      <w:rPr>
        <w:rFonts w:ascii="inherit" w:hAnsi="inherit"/>
      </w:rPr>
    </w:lvl>
    <w:lvl w:ilvl="1">
      <w:start w:val="1"/>
      <w:numFmt w:val="decimal"/>
      <w:lvlText w:val="%1.%2"/>
      <w:lvlJc w:val="left"/>
      <w:pPr>
        <w:ind w:left="960" w:hanging="480"/>
      </w:pPr>
      <w:rPr>
        <w:rFonts w:ascii="inherit" w:hAnsi="inherit"/>
      </w:rPr>
    </w:lvl>
    <w:lvl w:ilvl="2">
      <w:start w:val="1"/>
      <w:numFmt w:val="lowerLetter"/>
      <w:lvlText w:val="(%3)"/>
      <w:lvlJc w:val="left"/>
      <w:pPr>
        <w:ind w:left="1440" w:hanging="480"/>
      </w:pPr>
      <w:rPr>
        <w:rFonts w:ascii="inherit" w:hAnsi="inheri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Arial" w:hAnsi="Arial" w:cs="Arial" w:eastAsia="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Arial" w:hAnsi="Arial" w:cs="Arial" w:eastAsia="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cs="Arial" w:eastAsia="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Arial" w:hAnsi="Arial" w:cs="Arial" w:eastAsia="Arial"/>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dc:title>
  <dc:subject>Vantage Health GmbH</dc:subject>
  <dc:creator>Dr. Katharina Vogl</dc:creator>
  <cp:keywords/>
  <dc:description/>
  <cp:lastModifiedBy>Dr. Katharina Vogl</cp:lastModifiedBy>
  <cp:revision>1</cp:revision>
  <dcterms:created xsi:type="dcterms:W3CDTF">2026-03-03T14:00:00Z</dcterms:created>
  <dcterms:modified xsi:type="dcterms:W3CDTF">2026-03-03T14:00:00Z</dcterms:modified>
  <cp:category>Commercial legal</cp:category>
</cp:coreProperties>
</file>