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pPr>
      <w:r>
        <w:rPr>
          <w:rFonts w:ascii="Calibri" w:hAnsi="Calibri"/>
          <w:b/>
          <w:caps/>
          <w:color w:val="1F4E5A"/>
          <w:sz w:val="18"/>
        </w:rPr>
        <w:t>BRAMBER SOFTWARE LIMITED</w:t>
      </w:r>
    </w:p>
    <w:p>
      <w:pPr>
        <w:pBdr>
          <w:top w:val="single" w:sz="18" w:space="1" w:color="1F4E5A"/>
        </w:pBdr>
        <w:spacing w:after="120"/>
      </w:pPr>
    </w:p>
    <w:p>
      <w:pPr>
        <w:spacing w:before="480" w:after="200"/>
      </w:pPr>
      <w:r>
        <w:rPr>
          <w:rFonts w:ascii="Calibri" w:hAnsi="Calibri"/>
          <w:b/>
          <w:color w:val="1F4E5A"/>
          <w:sz w:val="56"/>
        </w:rPr>
        <w:t>Data Protection Playbook — Processor Engagements</w:t>
      </w:r>
    </w:p>
    <w:p>
      <w:pPr>
        <w:spacing w:after="960"/>
      </w:pPr>
      <w:r>
        <w:rPr>
          <w:rFonts w:ascii="Calibri" w:hAnsi="Calibri"/>
          <w:color w:val="404040"/>
          <w:sz w:val="26"/>
        </w:rPr>
        <w:t>Positions for customer DPAs where Bramber is the processor</w:t>
      </w:r>
    </w:p>
    <w:tbl>
      <w:tblPr>
        <w:tblW w:type="auto" w:w="0"/>
        <w:tblLayout w:type="fixed"/>
        <w:tblCellMar>
          <w:top w:w="80" w:type="dxa"/>
          <w:left w:w="100" w:type="dxa"/>
          <w:bottom w:w="80" w:type="dxa"/>
          <w:right w:w="100" w:type="dxa"/>
        </w:tblCellMar>
        <w:tblLook w:firstColumn="1" w:firstRow="1" w:lastColumn="0" w:lastRow="0" w:noHBand="0" w:noVBand="1" w:val="04A0"/>
      </w:tblPr>
      <w:tblGrid>
        <w:gridCol w:w="4819"/>
        <w:gridCol w:w="4819"/>
      </w:tblGrid>
      <w:tr>
        <w:tc>
          <w:tcPr>
            <w:tcW w:type="dxa" w:w="2438"/>
            <w:shd w:val="clear" w:color="auto" w:fill="EDF1F7"/>
          </w:tcPr>
          <w:p>
            <w:pPr>
              <w:spacing w:after="40"/>
            </w:pPr>
            <w:r>
              <w:rPr>
                <w:rFonts w:ascii="Calibri" w:hAnsi="Calibri"/>
                <w:b/>
                <w:color w:val="595959"/>
                <w:sz w:val="16"/>
              </w:rPr>
              <w:t>VERSION</w:t>
            </w:r>
          </w:p>
        </w:tc>
        <w:tc>
          <w:tcPr>
            <w:tcW w:type="dxa" w:w="6803"/>
          </w:tcPr>
          <w:p>
            <w:pPr>
              <w:spacing w:after="40"/>
            </w:pPr>
            <w:r>
              <w:rPr>
                <w:rFonts w:ascii="Calibri" w:hAnsi="Calibri"/>
                <w:sz w:val="19"/>
              </w:rPr>
              <w:t>5.0</w:t>
            </w:r>
          </w:p>
        </w:tc>
      </w:tr>
      <w:tr>
        <w:tc>
          <w:tcPr>
            <w:tcW w:type="dxa" w:w="2438"/>
            <w:shd w:val="clear" w:color="auto" w:fill="EDF1F7"/>
          </w:tcPr>
          <w:p>
            <w:pPr>
              <w:spacing w:after="40"/>
            </w:pPr>
            <w:r>
              <w:rPr>
                <w:rFonts w:ascii="Calibri" w:hAnsi="Calibri"/>
                <w:b/>
                <w:color w:val="595959"/>
                <w:sz w:val="16"/>
              </w:rPr>
              <w:t>OWNER</w:t>
            </w:r>
          </w:p>
        </w:tc>
        <w:tc>
          <w:tcPr>
            <w:tcW w:type="dxa" w:w="6803"/>
          </w:tcPr>
          <w:p>
            <w:pPr>
              <w:spacing w:after="40"/>
            </w:pPr>
            <w:r>
              <w:rPr>
                <w:rFonts w:ascii="Calibri" w:hAnsi="Calibri"/>
                <w:sz w:val="19"/>
              </w:rPr>
              <w:t>Elena Marchetti, Data Protection Officer</w:t>
            </w:r>
          </w:p>
        </w:tc>
      </w:tr>
      <w:tr>
        <w:tc>
          <w:tcPr>
            <w:tcW w:type="dxa" w:w="2438"/>
            <w:shd w:val="clear" w:color="auto" w:fill="EDF1F7"/>
          </w:tcPr>
          <w:p>
            <w:pPr>
              <w:spacing w:after="40"/>
            </w:pPr>
            <w:r>
              <w:rPr>
                <w:rFonts w:ascii="Calibri" w:hAnsi="Calibri"/>
                <w:b/>
                <w:color w:val="595959"/>
                <w:sz w:val="16"/>
              </w:rPr>
              <w:t>LAST REVIEWED</w:t>
            </w:r>
          </w:p>
        </w:tc>
        <w:tc>
          <w:tcPr>
            <w:tcW w:type="dxa" w:w="6803"/>
          </w:tcPr>
          <w:p>
            <w:pPr>
              <w:spacing w:after="40"/>
            </w:pPr>
            <w:r>
              <w:rPr>
                <w:rFonts w:ascii="Calibri" w:hAnsi="Calibri"/>
                <w:sz w:val="19"/>
              </w:rPr>
              <w:t>16 January 2026</w:t>
            </w:r>
          </w:p>
        </w:tc>
      </w:tr>
      <w:tr>
        <w:tc>
          <w:tcPr>
            <w:tcW w:type="dxa" w:w="2438"/>
            <w:shd w:val="clear" w:color="auto" w:fill="EDF1F7"/>
          </w:tcPr>
          <w:p>
            <w:pPr>
              <w:spacing w:after="40"/>
            </w:pPr>
            <w:r>
              <w:rPr>
                <w:rFonts w:ascii="Calibri" w:hAnsi="Calibri"/>
                <w:b/>
                <w:color w:val="595959"/>
                <w:sz w:val="16"/>
              </w:rPr>
              <w:t>CLASSIFICATION</w:t>
            </w:r>
          </w:p>
        </w:tc>
        <w:tc>
          <w:tcPr>
            <w:tcW w:type="dxa" w:w="6803"/>
          </w:tcPr>
          <w:p>
            <w:pPr>
              <w:spacing w:after="40"/>
            </w:pPr>
            <w:r>
              <w:rPr>
                <w:rFonts w:ascii="Calibri" w:hAnsi="Calibri"/>
                <w:sz w:val="19"/>
              </w:rPr>
              <w:t>Internal — Legal &amp; Privacy</w:t>
            </w:r>
          </w:p>
        </w:tc>
      </w:tr>
      <w:tr>
        <w:tc>
          <w:tcPr>
            <w:tcW w:type="dxa" w:w="2438"/>
            <w:shd w:val="clear" w:color="auto" w:fill="EDF1F7"/>
          </w:tcPr>
          <w:p>
            <w:pPr>
              <w:spacing w:after="40"/>
            </w:pPr>
            <w:r>
              <w:rPr>
                <w:rFonts w:ascii="Calibri" w:hAnsi="Calibri"/>
                <w:b/>
                <w:color w:val="595959"/>
                <w:sz w:val="16"/>
              </w:rPr>
              <w:t>REGULATORY FRAME</w:t>
            </w:r>
          </w:p>
        </w:tc>
        <w:tc>
          <w:tcPr>
            <w:tcW w:type="dxa" w:w="6803"/>
          </w:tcPr>
          <w:p>
            <w:pPr>
              <w:spacing w:after="40"/>
            </w:pPr>
            <w:r>
              <w:rPr>
                <w:rFonts w:ascii="Calibri" w:hAnsi="Calibri"/>
                <w:sz w:val="19"/>
              </w:rPr>
              <w:t>UK GDPR; EU GDPR; UK IDTA and EU SCCs</w:t>
            </w:r>
          </w:p>
        </w:tc>
      </w:tr>
    </w:tbl>
    <w:p/>
    <w:p>
      <w:pPr>
        <w:spacing w:after="0"/>
      </w:pPr>
      <w:r>
        <w:br w:type="page"/>
      </w:r>
    </w:p>
    <w:p>
      <w:pPr>
        <w:pStyle w:val="Heading1"/>
      </w:pPr>
      <w:r>
        <w:t>Purpose and scope</w:t>
      </w:r>
    </w:p>
    <w:p>
      <w:r>
        <w:rPr>
          <w:b w:val="0"/>
          <w:i w:val="0"/>
        </w:rPr>
        <w:t>This playbook sets out Bramber's position on data processing agreements where Bramber acts as a processor for a customer. It applies to customer DPAs, security schedules and the data protection terms in master services agreements. It does not cover situations where Bramber is a controller, such as marketing, HR or our own vendor relationships.</w:t>
      </w:r>
    </w:p>
    <w:p>
      <w:r>
        <w:rPr>
          <w:b w:val="0"/>
          <w:i w:val="0"/>
        </w:rPr>
        <w:t>The regulatory backdrop is the UK GDPR and, for EU customers, the EU GDPR. The same positions work for both, with the transfer mechanism adjusted for the destination. Where a customer is a public authority or a regulated financial institution, additional sector rules may apply and the DPO must be involved before the first draft.</w:t>
      </w:r>
    </w:p>
    <w:p>
      <w:r>
        <w:rPr>
          <w:b w:val="0"/>
          <w:i w:val="0"/>
        </w:rPr>
        <w:t>The positions below are written as preferred, fallback and walk-away. A fallback is pre-approved only where the processing is within the scope described in the DPA and no special category data is involved. Anything else goes to the DPO.</w:t>
      </w:r>
    </w:p>
    <w:p>
      <w:pPr>
        <w:pStyle w:val="Heading1"/>
      </w:pPr>
      <w:r>
        <w:t>How to use this playbook</w:t>
      </w:r>
    </w:p>
    <w:p>
      <w:pPr>
        <w:spacing w:after="80"/>
        <w:ind w:left="397" w:hanging="397"/>
      </w:pPr>
      <w:r>
        <w:rPr>
          <w:b/>
          <w:color w:val="1F3864"/>
        </w:rPr>
        <w:t>1.</w:t>
        <w:tab/>
      </w:r>
      <w:r>
        <w:rPr>
          <w:b w:val="0"/>
          <w:i w:val="0"/>
        </w:rPr>
        <w:t>Confirm the role allocation first. If the customer's DPA describes Bramber as a controller, stop and escalate: the entire document will need to be rewritten.</w:t>
      </w:r>
    </w:p>
    <w:p>
      <w:pPr>
        <w:spacing w:after="80"/>
        <w:ind w:left="397" w:hanging="397"/>
      </w:pPr>
      <w:r>
        <w:rPr>
          <w:b/>
          <w:color w:val="1F3864"/>
        </w:rPr>
        <w:t>2.</w:t>
        <w:tab/>
      </w:r>
      <w:r>
        <w:rPr>
          <w:b w:val="0"/>
          <w:i w:val="0"/>
        </w:rPr>
        <w:t>Check the processing details in the schedule against the actual service. The schedule is the operative description of what we do; a generic schedule creates obligations we cannot map to our systems.</w:t>
      </w:r>
    </w:p>
    <w:p>
      <w:pPr>
        <w:spacing w:after="80"/>
        <w:ind w:left="397" w:hanging="397"/>
      </w:pPr>
      <w:r>
        <w:rPr>
          <w:b/>
          <w:color w:val="1F3864"/>
        </w:rPr>
        <w:t>3.</w:t>
        <w:tab/>
      </w:r>
      <w:r>
        <w:rPr>
          <w:b w:val="0"/>
          <w:i w:val="0"/>
        </w:rPr>
        <w:t>Work through the positions in order. The first four determine whether the DPA is workable; the remainder are operational commitments that need an owner in the business.</w:t>
      </w:r>
    </w:p>
    <w:p>
      <w:pPr>
        <w:spacing w:after="80"/>
        <w:ind w:left="397" w:hanging="397"/>
      </w:pPr>
      <w:r>
        <w:rPr>
          <w:b/>
          <w:color w:val="1F3864"/>
        </w:rPr>
        <w:t>4.</w:t>
        <w:tab/>
      </w:r>
      <w:r>
        <w:rPr>
          <w:b w:val="0"/>
          <w:i w:val="0"/>
        </w:rPr>
        <w:t>Record any fallback in the deal summary with the position ID. Do not agree a walk-away position in exchange for a commercial concession without the DPO and GC.</w:t>
      </w:r>
    </w:p>
    <w:p>
      <w:pPr>
        <w:spacing w:after="80"/>
        <w:ind w:left="397" w:hanging="397"/>
      </w:pPr>
      <w:r>
        <w:rPr>
          <w:b/>
          <w:color w:val="1F3864"/>
        </w:rPr>
        <w:t>5.</w:t>
        <w:tab/>
      </w:r>
      <w:r>
        <w:rPr>
          <w:b w:val="0"/>
          <w:i w:val="0"/>
        </w:rPr>
        <w:t>Send the final DPA to the DPO for sign-off before signature. The DPO maintains the sub-processor list and the transfer register.</w:t>
      </w:r>
    </w:p>
    <w:p>
      <w:pPr>
        <w:pStyle w:val="Heading1"/>
      </w:pPr>
      <w:r>
        <w:t>Approval matrix</w:t>
      </w:r>
    </w:p>
    <w:tbl>
      <w:tblPr>
        <w:tblW w:type="auto" w:w="0"/>
        <w:jc w:val="center"/>
        <w:tblBorders>
          <w:top w:val="single" w:sz="4" w:space="0" w:color="B4C0D3"/>
          <w:left w:val="single" w:sz="4" w:space="0" w:color="B4C0D3"/>
          <w:bottom w:val="single" w:sz="4" w:space="0" w:color="B4C0D3"/>
          <w:right w:val="single" w:sz="4" w:space="0" w:color="B4C0D3"/>
          <w:insideH w:val="single" w:sz="4" w:space="0" w:color="B4C0D3"/>
          <w:insideV w:val="single" w:sz="4" w:space="0" w:color="B4C0D3"/>
        </w:tblBorders>
        <w:tblLayout w:type="fixed"/>
        <w:tblCellMar>
          <w:top w:w="60" w:type="dxa"/>
          <w:left w:w="90" w:type="dxa"/>
          <w:bottom w:w="60" w:type="dxa"/>
          <w:right w:w="90" w:type="dxa"/>
        </w:tblCellMar>
        <w:tblLook w:firstColumn="1" w:firstRow="1" w:lastColumn="0" w:lastRow="0" w:noHBand="0" w:noVBand="1" w:val="04A0"/>
      </w:tblPr>
      <w:tblGrid>
        <w:gridCol w:w="3213"/>
        <w:gridCol w:w="3213"/>
        <w:gridCol w:w="3213"/>
      </w:tblGrid>
      <w:tr>
        <w:trPr>
          <w:tblHeader w:val="true"/>
        </w:trPr>
        <w:tc>
          <w:tcPr>
            <w:tcW w:type="dxa" w:w="4139"/>
            <w:shd w:val="clear" w:color="auto" w:fill="1F3864"/>
          </w:tcPr>
          <w:p>
            <w:pPr>
              <w:spacing w:after="0" w:line="240" w:lineRule="auto"/>
            </w:pPr>
            <w:r>
              <w:rPr>
                <w:b/>
                <w:color w:val="FFFFFF"/>
                <w:sz w:val="17"/>
              </w:rPr>
              <w:t>Scenario</w:t>
            </w:r>
          </w:p>
        </w:tc>
        <w:tc>
          <w:tcPr>
            <w:tcW w:type="dxa" w:w="3061"/>
            <w:shd w:val="clear" w:color="auto" w:fill="1F3864"/>
          </w:tcPr>
          <w:p>
            <w:pPr>
              <w:spacing w:after="0" w:line="240" w:lineRule="auto"/>
            </w:pPr>
            <w:r>
              <w:rPr>
                <w:b/>
                <w:color w:val="FFFFFF"/>
                <w:sz w:val="17"/>
              </w:rPr>
              <w:t>Approver</w:t>
            </w:r>
          </w:p>
        </w:tc>
        <w:tc>
          <w:tcPr>
            <w:tcW w:type="dxa" w:w="2268"/>
            <w:shd w:val="clear" w:color="auto" w:fill="1F3864"/>
          </w:tcPr>
          <w:p>
            <w:pPr>
              <w:spacing w:after="0" w:line="240" w:lineRule="auto"/>
            </w:pPr>
            <w:r>
              <w:rPr>
                <w:b/>
                <w:color w:val="FFFFFF"/>
                <w:sz w:val="17"/>
              </w:rPr>
              <w:t>Threshold</w:t>
            </w:r>
          </w:p>
        </w:tc>
      </w:tr>
      <w:tr>
        <w:trPr>
          <w:cantSplit/>
        </w:trPr>
        <w:tc>
          <w:tcPr>
            <w:tcW w:type="dxa" w:w="4139"/>
          </w:tcPr>
          <w:p>
            <w:pPr>
              <w:spacing w:after="40" w:line="240" w:lineRule="auto"/>
            </w:pPr>
            <w:r>
              <w:rPr>
                <w:b w:val="0"/>
                <w:i w:val="0"/>
                <w:sz w:val="17"/>
              </w:rPr>
              <w:t>Standard processor DPA on Bramber terms</w:t>
            </w:r>
          </w:p>
        </w:tc>
        <w:tc>
          <w:tcPr>
            <w:tcW w:type="dxa" w:w="3061"/>
          </w:tcPr>
          <w:p>
            <w:pPr>
              <w:spacing w:after="40" w:line="240" w:lineRule="auto"/>
            </w:pPr>
            <w:r>
              <w:rPr>
                <w:b w:val="0"/>
                <w:i w:val="0"/>
                <w:sz w:val="17"/>
              </w:rPr>
              <w:t>Elena Marchetti, DPO</w:t>
            </w:r>
          </w:p>
        </w:tc>
        <w:tc>
          <w:tcPr>
            <w:tcW w:type="dxa" w:w="2268"/>
          </w:tcPr>
          <w:p>
            <w:pPr>
              <w:spacing w:after="40" w:line="240" w:lineRule="auto"/>
            </w:pPr>
            <w:r>
              <w:rPr>
                <w:b w:val="0"/>
                <w:i w:val="0"/>
                <w:sz w:val="17"/>
              </w:rPr>
              <w:t>No deviation from preferred positions</w:t>
            </w:r>
          </w:p>
        </w:tc>
      </w:tr>
      <w:tr>
        <w:trPr>
          <w:cantSplit/>
        </w:trPr>
        <w:tc>
          <w:tcPr>
            <w:tcW w:type="dxa" w:w="4139"/>
          </w:tcPr>
          <w:p>
            <w:pPr>
              <w:spacing w:after="40" w:line="240" w:lineRule="auto"/>
            </w:pPr>
            <w:r>
              <w:rPr>
                <w:b w:val="0"/>
                <w:i w:val="0"/>
                <w:sz w:val="17"/>
              </w:rPr>
              <w:t>Any fallback position</w:t>
            </w:r>
          </w:p>
        </w:tc>
        <w:tc>
          <w:tcPr>
            <w:tcW w:type="dxa" w:w="3061"/>
          </w:tcPr>
          <w:p>
            <w:pPr>
              <w:spacing w:after="40" w:line="240" w:lineRule="auto"/>
            </w:pPr>
            <w:r>
              <w:rPr>
                <w:b w:val="0"/>
                <w:i w:val="0"/>
                <w:sz w:val="17"/>
              </w:rPr>
              <w:t>Elena Marchetti</w:t>
            </w:r>
          </w:p>
        </w:tc>
        <w:tc>
          <w:tcPr>
            <w:tcW w:type="dxa" w:w="2268"/>
          </w:tcPr>
          <w:p>
            <w:pPr>
              <w:spacing w:after="40" w:line="240" w:lineRule="auto"/>
            </w:pPr>
            <w:r>
              <w:rPr>
                <w:b w:val="0"/>
                <w:i w:val="0"/>
                <w:sz w:val="17"/>
              </w:rPr>
              <w:t>Record position ID and rationale</w:t>
            </w:r>
          </w:p>
        </w:tc>
      </w:tr>
      <w:tr>
        <w:trPr>
          <w:cantSplit/>
        </w:trPr>
        <w:tc>
          <w:tcPr>
            <w:tcW w:type="dxa" w:w="4139"/>
          </w:tcPr>
          <w:p>
            <w:pPr>
              <w:spacing w:after="40" w:line="240" w:lineRule="auto"/>
            </w:pPr>
            <w:r>
              <w:rPr>
                <w:b w:val="0"/>
                <w:i w:val="0"/>
                <w:sz w:val="17"/>
              </w:rPr>
              <w:t>Controller language, joint controllership or independent controller obligations</w:t>
            </w:r>
          </w:p>
        </w:tc>
        <w:tc>
          <w:tcPr>
            <w:tcW w:type="dxa" w:w="3061"/>
          </w:tcPr>
          <w:p>
            <w:pPr>
              <w:spacing w:after="40" w:line="240" w:lineRule="auto"/>
            </w:pPr>
            <w:r>
              <w:rPr>
                <w:b w:val="0"/>
                <w:i w:val="0"/>
                <w:sz w:val="17"/>
              </w:rPr>
              <w:t>Elena Marchetti and Priya Raghavan</w:t>
            </w:r>
          </w:p>
        </w:tc>
        <w:tc>
          <w:tcPr>
            <w:tcW w:type="dxa" w:w="2268"/>
          </w:tcPr>
          <w:p>
            <w:pPr>
              <w:spacing w:after="40" w:line="240" w:lineRule="auto"/>
            </w:pPr>
            <w:r>
              <w:rPr>
                <w:b w:val="0"/>
                <w:i w:val="0"/>
                <w:sz w:val="17"/>
              </w:rPr>
              <w:t>Any value</w:t>
            </w:r>
          </w:p>
        </w:tc>
      </w:tr>
      <w:tr>
        <w:trPr>
          <w:cantSplit/>
        </w:trPr>
        <w:tc>
          <w:tcPr>
            <w:tcW w:type="dxa" w:w="4139"/>
          </w:tcPr>
          <w:p>
            <w:pPr>
              <w:spacing w:after="40" w:line="240" w:lineRule="auto"/>
            </w:pPr>
            <w:r>
              <w:rPr>
                <w:b w:val="0"/>
                <w:i w:val="0"/>
                <w:sz w:val="17"/>
              </w:rPr>
              <w:t>Transfers outside the UK or EEA</w:t>
            </w:r>
          </w:p>
        </w:tc>
        <w:tc>
          <w:tcPr>
            <w:tcW w:type="dxa" w:w="3061"/>
          </w:tcPr>
          <w:p>
            <w:pPr>
              <w:spacing w:after="40" w:line="240" w:lineRule="auto"/>
            </w:pPr>
            <w:r>
              <w:rPr>
                <w:b w:val="0"/>
                <w:i w:val="0"/>
                <w:sz w:val="17"/>
              </w:rPr>
              <w:t>Elena Marchetti</w:t>
            </w:r>
          </w:p>
        </w:tc>
        <w:tc>
          <w:tcPr>
            <w:tcW w:type="dxa" w:w="2268"/>
          </w:tcPr>
          <w:p>
            <w:pPr>
              <w:spacing w:after="40" w:line="240" w:lineRule="auto"/>
            </w:pPr>
            <w:r>
              <w:rPr>
                <w:b w:val="0"/>
                <w:i w:val="0"/>
                <w:sz w:val="17"/>
              </w:rPr>
              <w:t>Any volume; check transfer mechanism</w:t>
            </w:r>
          </w:p>
        </w:tc>
      </w:tr>
      <w:tr>
        <w:trPr>
          <w:cantSplit/>
        </w:trPr>
        <w:tc>
          <w:tcPr>
            <w:tcW w:type="dxa" w:w="4139"/>
          </w:tcPr>
          <w:p>
            <w:pPr>
              <w:spacing w:after="40" w:line="240" w:lineRule="auto"/>
            </w:pPr>
            <w:r>
              <w:rPr>
                <w:b w:val="0"/>
                <w:i w:val="0"/>
                <w:sz w:val="17"/>
              </w:rPr>
              <w:t>Sub-processor approval rights beyond general authorisation</w:t>
            </w:r>
          </w:p>
        </w:tc>
        <w:tc>
          <w:tcPr>
            <w:tcW w:type="dxa" w:w="3061"/>
          </w:tcPr>
          <w:p>
            <w:pPr>
              <w:spacing w:after="40" w:line="240" w:lineRule="auto"/>
            </w:pPr>
            <w:r>
              <w:rPr>
                <w:b w:val="0"/>
                <w:i w:val="0"/>
                <w:sz w:val="17"/>
              </w:rPr>
              <w:t>Elena Marchetti and Tom Whitlock</w:t>
            </w:r>
          </w:p>
        </w:tc>
        <w:tc>
          <w:tcPr>
            <w:tcW w:type="dxa" w:w="2268"/>
          </w:tcPr>
          <w:p>
            <w:pPr>
              <w:spacing w:after="40" w:line="240" w:lineRule="auto"/>
            </w:pPr>
            <w:r>
              <w:rPr>
                <w:b w:val="0"/>
                <w:i w:val="0"/>
                <w:sz w:val="17"/>
              </w:rPr>
              <w:t>Any value</w:t>
            </w:r>
          </w:p>
        </w:tc>
      </w:tr>
      <w:tr>
        <w:trPr>
          <w:cantSplit/>
        </w:trPr>
        <w:tc>
          <w:tcPr>
            <w:tcW w:type="dxa" w:w="4139"/>
          </w:tcPr>
          <w:p>
            <w:pPr>
              <w:spacing w:after="40" w:line="240" w:lineRule="auto"/>
            </w:pPr>
            <w:r>
              <w:rPr>
                <w:b w:val="0"/>
                <w:i w:val="0"/>
                <w:sz w:val="17"/>
              </w:rPr>
              <w:t>Uncapped liability or indemnity for data protection claims</w:t>
            </w:r>
          </w:p>
        </w:tc>
        <w:tc>
          <w:tcPr>
            <w:tcW w:type="dxa" w:w="3061"/>
          </w:tcPr>
          <w:p>
            <w:pPr>
              <w:spacing w:after="40" w:line="240" w:lineRule="auto"/>
            </w:pPr>
            <w:r>
              <w:rPr>
                <w:b w:val="0"/>
                <w:i w:val="0"/>
                <w:sz w:val="17"/>
              </w:rPr>
              <w:t>Priya Raghavan and Marcus Feld</w:t>
            </w:r>
          </w:p>
        </w:tc>
        <w:tc>
          <w:tcPr>
            <w:tcW w:type="dxa" w:w="2268"/>
          </w:tcPr>
          <w:p>
            <w:pPr>
              <w:spacing w:after="40" w:line="240" w:lineRule="auto"/>
            </w:pPr>
            <w:r>
              <w:rPr>
                <w:b w:val="0"/>
                <w:i w:val="0"/>
                <w:sz w:val="17"/>
              </w:rPr>
              <w:t>Any value</w:t>
            </w:r>
          </w:p>
        </w:tc>
      </w:tr>
      <w:tr>
        <w:trPr>
          <w:cantSplit/>
        </w:trPr>
        <w:tc>
          <w:tcPr>
            <w:tcW w:type="dxa" w:w="4139"/>
          </w:tcPr>
          <w:p>
            <w:pPr>
              <w:spacing w:after="40" w:line="240" w:lineRule="auto"/>
            </w:pPr>
            <w:r>
              <w:rPr>
                <w:b w:val="0"/>
                <w:i w:val="0"/>
                <w:sz w:val="17"/>
              </w:rPr>
              <w:t>Audit rights on less than 15 Business Days' notice</w:t>
            </w:r>
          </w:p>
        </w:tc>
        <w:tc>
          <w:tcPr>
            <w:tcW w:type="dxa" w:w="3061"/>
          </w:tcPr>
          <w:p>
            <w:pPr>
              <w:spacing w:after="40" w:line="240" w:lineRule="auto"/>
            </w:pPr>
            <w:r>
              <w:rPr>
                <w:b w:val="0"/>
                <w:i w:val="0"/>
                <w:sz w:val="17"/>
              </w:rPr>
              <w:t>Elena Marchetti and Jonas Reed</w:t>
            </w:r>
          </w:p>
        </w:tc>
        <w:tc>
          <w:tcPr>
            <w:tcW w:type="dxa" w:w="2268"/>
          </w:tcPr>
          <w:p>
            <w:pPr>
              <w:spacing w:after="40" w:line="240" w:lineRule="auto"/>
            </w:pPr>
            <w:r>
              <w:rPr>
                <w:b w:val="0"/>
                <w:i w:val="0"/>
                <w:sz w:val="17"/>
              </w:rPr>
              <w:t>Any value</w:t>
            </w:r>
          </w:p>
        </w:tc>
      </w:tr>
      <w:tr>
        <w:trPr>
          <w:cantSplit/>
        </w:trPr>
        <w:tc>
          <w:tcPr>
            <w:tcW w:type="dxa" w:w="4139"/>
          </w:tcPr>
          <w:p>
            <w:pPr>
              <w:spacing w:after="40" w:line="240" w:lineRule="auto"/>
            </w:pPr>
            <w:r>
              <w:rPr>
                <w:b w:val="0"/>
                <w:i w:val="0"/>
                <w:sz w:val="17"/>
              </w:rPr>
              <w:t>Special category data or criminal offence data</w:t>
            </w:r>
          </w:p>
        </w:tc>
        <w:tc>
          <w:tcPr>
            <w:tcW w:type="dxa" w:w="3061"/>
          </w:tcPr>
          <w:p>
            <w:pPr>
              <w:spacing w:after="40" w:line="240" w:lineRule="auto"/>
            </w:pPr>
            <w:r>
              <w:rPr>
                <w:b w:val="0"/>
                <w:i w:val="0"/>
                <w:sz w:val="17"/>
              </w:rPr>
              <w:t>Elena Marchetti and Priya Raghavan</w:t>
            </w:r>
          </w:p>
        </w:tc>
        <w:tc>
          <w:tcPr>
            <w:tcW w:type="dxa" w:w="2268"/>
          </w:tcPr>
          <w:p>
            <w:pPr>
              <w:spacing w:after="40" w:line="240" w:lineRule="auto"/>
            </w:pPr>
            <w:r>
              <w:rPr>
                <w:b w:val="0"/>
                <w:i w:val="0"/>
                <w:sz w:val="17"/>
              </w:rPr>
              <w:t>Any processing</w:t>
            </w:r>
          </w:p>
        </w:tc>
      </w:tr>
    </w:tbl>
    <w:p>
      <w:pPr>
        <w:pStyle w:val="Heading1"/>
      </w:pPr>
      <w:r>
        <w:t>Contacts</w:t>
      </w:r>
    </w:p>
    <w:tbl>
      <w:tblPr>
        <w:tblW w:type="auto" w:w="0"/>
        <w:jc w:val="center"/>
        <w:tblBorders>
          <w:top w:val="single" w:sz="4" w:space="0" w:color="B4C0D3"/>
          <w:left w:val="single" w:sz="4" w:space="0" w:color="B4C0D3"/>
          <w:bottom w:val="single" w:sz="4" w:space="0" w:color="B4C0D3"/>
          <w:right w:val="single" w:sz="4" w:space="0" w:color="B4C0D3"/>
          <w:insideH w:val="single" w:sz="4" w:space="0" w:color="B4C0D3"/>
          <w:insideV w:val="single" w:sz="4" w:space="0" w:color="B4C0D3"/>
        </w:tblBorders>
        <w:tblLayout w:type="fixed"/>
        <w:tblCellMar>
          <w:top w:w="60" w:type="dxa"/>
          <w:left w:w="90" w:type="dxa"/>
          <w:bottom w:w="60" w:type="dxa"/>
          <w:right w:w="90" w:type="dxa"/>
        </w:tblCellMar>
        <w:tblLook w:firstColumn="1" w:firstRow="1" w:lastColumn="0" w:lastRow="0" w:noHBand="0" w:noVBand="1" w:val="04A0"/>
      </w:tblPr>
      <w:tblGrid>
        <w:gridCol w:w="3213"/>
        <w:gridCol w:w="3213"/>
        <w:gridCol w:w="3213"/>
      </w:tblGrid>
      <w:tr>
        <w:trPr>
          <w:tblHeader w:val="true"/>
        </w:trPr>
        <w:tc>
          <w:tcPr>
            <w:tcW w:type="dxa" w:w="1984"/>
            <w:shd w:val="clear" w:color="auto" w:fill="1F3864"/>
          </w:tcPr>
          <w:p>
            <w:pPr>
              <w:spacing w:after="0" w:line="240" w:lineRule="auto"/>
            </w:pPr>
            <w:r>
              <w:rPr>
                <w:b/>
                <w:color w:val="FFFFFF"/>
                <w:sz w:val="17"/>
              </w:rPr>
              <w:t>Name</w:t>
            </w:r>
          </w:p>
        </w:tc>
        <w:tc>
          <w:tcPr>
            <w:tcW w:type="dxa" w:w="2494"/>
            <w:shd w:val="clear" w:color="auto" w:fill="1F3864"/>
          </w:tcPr>
          <w:p>
            <w:pPr>
              <w:spacing w:after="0" w:line="240" w:lineRule="auto"/>
            </w:pPr>
            <w:r>
              <w:rPr>
                <w:b/>
                <w:color w:val="FFFFFF"/>
                <w:sz w:val="17"/>
              </w:rPr>
              <w:t>Role</w:t>
            </w:r>
          </w:p>
        </w:tc>
        <w:tc>
          <w:tcPr>
            <w:tcW w:type="dxa" w:w="4989"/>
            <w:shd w:val="clear" w:color="auto" w:fill="1F3864"/>
          </w:tcPr>
          <w:p>
            <w:pPr>
              <w:spacing w:after="0" w:line="240" w:lineRule="auto"/>
            </w:pPr>
            <w:r>
              <w:rPr>
                <w:b/>
                <w:color w:val="FFFFFF"/>
                <w:sz w:val="17"/>
              </w:rPr>
              <w:t>Responsibility</w:t>
            </w:r>
          </w:p>
        </w:tc>
      </w:tr>
      <w:tr>
        <w:trPr>
          <w:cantSplit/>
        </w:trPr>
        <w:tc>
          <w:tcPr>
            <w:tcW w:type="dxa" w:w="1984"/>
          </w:tcPr>
          <w:p>
            <w:pPr>
              <w:spacing w:after="40" w:line="240" w:lineRule="auto"/>
            </w:pPr>
            <w:r>
              <w:rPr>
                <w:b/>
                <w:i w:val="0"/>
                <w:sz w:val="17"/>
              </w:rPr>
              <w:t>Elena Marchetti</w:t>
            </w:r>
          </w:p>
        </w:tc>
        <w:tc>
          <w:tcPr>
            <w:tcW w:type="dxa" w:w="2494"/>
          </w:tcPr>
          <w:p>
            <w:pPr>
              <w:spacing w:after="40" w:line="240" w:lineRule="auto"/>
            </w:pPr>
            <w:r>
              <w:rPr>
                <w:b w:val="0"/>
                <w:i w:val="0"/>
                <w:sz w:val="17"/>
              </w:rPr>
              <w:t>Data Protection Officer</w:t>
            </w:r>
          </w:p>
        </w:tc>
        <w:tc>
          <w:tcPr>
            <w:tcW w:type="dxa" w:w="4989"/>
          </w:tcPr>
          <w:p>
            <w:pPr>
              <w:spacing w:after="40" w:line="240" w:lineRule="auto"/>
            </w:pPr>
            <w:r>
              <w:rPr>
                <w:b w:val="0"/>
                <w:i w:val="0"/>
                <w:sz w:val="17"/>
              </w:rPr>
              <w:t>Owner; role allocation, transfers, sub-processors, breach response.</w:t>
            </w:r>
          </w:p>
        </w:tc>
      </w:tr>
      <w:tr>
        <w:trPr>
          <w:cantSplit/>
        </w:trPr>
        <w:tc>
          <w:tcPr>
            <w:tcW w:type="dxa" w:w="1984"/>
          </w:tcPr>
          <w:p>
            <w:pPr>
              <w:spacing w:after="40" w:line="240" w:lineRule="auto"/>
            </w:pPr>
            <w:r>
              <w:rPr>
                <w:b/>
                <w:i w:val="0"/>
                <w:sz w:val="17"/>
              </w:rPr>
              <w:t>Priya Raghavan</w:t>
            </w:r>
          </w:p>
        </w:tc>
        <w:tc>
          <w:tcPr>
            <w:tcW w:type="dxa" w:w="2494"/>
          </w:tcPr>
          <w:p>
            <w:pPr>
              <w:spacing w:after="40" w:line="240" w:lineRule="auto"/>
            </w:pPr>
            <w:r>
              <w:rPr>
                <w:b w:val="0"/>
                <w:i w:val="0"/>
                <w:sz w:val="17"/>
              </w:rPr>
              <w:t>General Counsel</w:t>
            </w:r>
          </w:p>
        </w:tc>
        <w:tc>
          <w:tcPr>
            <w:tcW w:type="dxa" w:w="4989"/>
          </w:tcPr>
          <w:p>
            <w:pPr>
              <w:spacing w:after="40" w:line="240" w:lineRule="auto"/>
            </w:pPr>
            <w:r>
              <w:rPr>
                <w:b w:val="0"/>
                <w:i w:val="0"/>
                <w:sz w:val="17"/>
              </w:rPr>
              <w:t>Controller language, liability, regulatory contact.</w:t>
            </w:r>
          </w:p>
        </w:tc>
      </w:tr>
      <w:tr>
        <w:trPr>
          <w:cantSplit/>
        </w:trPr>
        <w:tc>
          <w:tcPr>
            <w:tcW w:type="dxa" w:w="1984"/>
          </w:tcPr>
          <w:p>
            <w:pPr>
              <w:spacing w:after="40" w:line="240" w:lineRule="auto"/>
            </w:pPr>
            <w:r>
              <w:rPr>
                <w:b/>
                <w:i w:val="0"/>
                <w:sz w:val="17"/>
              </w:rPr>
              <w:t>Jonas Reed</w:t>
            </w:r>
          </w:p>
        </w:tc>
        <w:tc>
          <w:tcPr>
            <w:tcW w:type="dxa" w:w="2494"/>
          </w:tcPr>
          <w:p>
            <w:pPr>
              <w:spacing w:after="40" w:line="240" w:lineRule="auto"/>
            </w:pPr>
            <w:r>
              <w:rPr>
                <w:b w:val="0"/>
                <w:i w:val="0"/>
                <w:sz w:val="17"/>
              </w:rPr>
              <w:t>Director of Information Security</w:t>
            </w:r>
          </w:p>
        </w:tc>
        <w:tc>
          <w:tcPr>
            <w:tcW w:type="dxa" w:w="4989"/>
          </w:tcPr>
          <w:p>
            <w:pPr>
              <w:spacing w:after="40" w:line="240" w:lineRule="auto"/>
            </w:pPr>
            <w:r>
              <w:rPr>
                <w:b w:val="0"/>
                <w:i w:val="0"/>
                <w:sz w:val="17"/>
              </w:rPr>
              <w:t>Security measures, audit scope, incident response.</w:t>
            </w:r>
          </w:p>
        </w:tc>
      </w:tr>
      <w:tr>
        <w:trPr>
          <w:cantSplit/>
        </w:trPr>
        <w:tc>
          <w:tcPr>
            <w:tcW w:type="dxa" w:w="1984"/>
          </w:tcPr>
          <w:p>
            <w:pPr>
              <w:spacing w:after="40" w:line="240" w:lineRule="auto"/>
            </w:pPr>
            <w:r>
              <w:rPr>
                <w:b/>
                <w:i w:val="0"/>
                <w:sz w:val="17"/>
              </w:rPr>
              <w:t>Tom Whitlock</w:t>
            </w:r>
          </w:p>
        </w:tc>
        <w:tc>
          <w:tcPr>
            <w:tcW w:type="dxa" w:w="2494"/>
          </w:tcPr>
          <w:p>
            <w:pPr>
              <w:spacing w:after="40" w:line="240" w:lineRule="auto"/>
            </w:pPr>
            <w:r>
              <w:rPr>
                <w:b w:val="0"/>
                <w:i w:val="0"/>
                <w:sz w:val="17"/>
              </w:rPr>
              <w:t>Senior Commercial Counsel</w:t>
            </w:r>
          </w:p>
        </w:tc>
        <w:tc>
          <w:tcPr>
            <w:tcW w:type="dxa" w:w="4989"/>
          </w:tcPr>
          <w:p>
            <w:pPr>
              <w:spacing w:after="40" w:line="240" w:lineRule="auto"/>
            </w:pPr>
            <w:r>
              <w:rPr>
                <w:b w:val="0"/>
                <w:i w:val="0"/>
                <w:sz w:val="17"/>
              </w:rPr>
              <w:t>DPA negotiations in customer MSAs.</w:t>
            </w:r>
          </w:p>
        </w:tc>
      </w:tr>
      <w:tr>
        <w:trPr>
          <w:cantSplit/>
        </w:trPr>
        <w:tc>
          <w:tcPr>
            <w:tcW w:type="dxa" w:w="1984"/>
          </w:tcPr>
          <w:p>
            <w:pPr>
              <w:spacing w:after="40" w:line="240" w:lineRule="auto"/>
            </w:pPr>
            <w:r>
              <w:rPr>
                <w:b/>
                <w:i w:val="0"/>
                <w:sz w:val="17"/>
              </w:rPr>
              <w:t>Fiona Marsh</w:t>
            </w:r>
          </w:p>
        </w:tc>
        <w:tc>
          <w:tcPr>
            <w:tcW w:type="dxa" w:w="2494"/>
          </w:tcPr>
          <w:p>
            <w:pPr>
              <w:spacing w:after="40" w:line="240" w:lineRule="auto"/>
            </w:pPr>
            <w:r>
              <w:rPr>
                <w:b w:val="0"/>
                <w:i w:val="0"/>
                <w:sz w:val="17"/>
              </w:rPr>
              <w:t>Contracts Manager</w:t>
            </w:r>
          </w:p>
        </w:tc>
        <w:tc>
          <w:tcPr>
            <w:tcW w:type="dxa" w:w="4989"/>
          </w:tcPr>
          <w:p>
            <w:pPr>
              <w:spacing w:after="40" w:line="240" w:lineRule="auto"/>
            </w:pPr>
            <w:r>
              <w:rPr>
                <w:b w:val="0"/>
                <w:i w:val="0"/>
                <w:sz w:val="17"/>
              </w:rPr>
              <w:t>Execution and maintenance of the DPA register.</w:t>
            </w:r>
          </w:p>
        </w:tc>
      </w:tr>
    </w:tbl>
    <w:p>
      <w:pPr>
        <w:pStyle w:val="Heading1"/>
      </w:pPr>
      <w:r>
        <w:t>Version history</w:t>
      </w:r>
    </w:p>
    <w:tbl>
      <w:tblPr>
        <w:tblW w:type="auto" w:w="0"/>
        <w:jc w:val="center"/>
        <w:tblBorders>
          <w:top w:val="single" w:sz="4" w:space="0" w:color="B4C0D3"/>
          <w:left w:val="single" w:sz="4" w:space="0" w:color="B4C0D3"/>
          <w:bottom w:val="single" w:sz="4" w:space="0" w:color="B4C0D3"/>
          <w:right w:val="single" w:sz="4" w:space="0" w:color="B4C0D3"/>
          <w:insideH w:val="single" w:sz="4" w:space="0" w:color="B4C0D3"/>
          <w:insideV w:val="single" w:sz="4" w:space="0" w:color="B4C0D3"/>
        </w:tblBorders>
        <w:tblLayout w:type="fixed"/>
        <w:tblCellMar>
          <w:top w:w="60" w:type="dxa"/>
          <w:left w:w="90" w:type="dxa"/>
          <w:bottom w:w="60" w:type="dxa"/>
          <w:right w:w="90" w:type="dxa"/>
        </w:tblCellMar>
        <w:tblLook w:firstColumn="1" w:firstRow="1" w:lastColumn="0" w:lastRow="0" w:noHBand="0" w:noVBand="1" w:val="04A0"/>
      </w:tblPr>
      <w:tblGrid>
        <w:gridCol w:w="2409"/>
        <w:gridCol w:w="2409"/>
        <w:gridCol w:w="2409"/>
        <w:gridCol w:w="2409"/>
      </w:tblGrid>
      <w:tr>
        <w:trPr>
          <w:tblHeader w:val="true"/>
        </w:trPr>
        <w:tc>
          <w:tcPr>
            <w:tcW w:type="dxa" w:w="1134"/>
            <w:shd w:val="clear" w:color="auto" w:fill="1F3864"/>
          </w:tcPr>
          <w:p>
            <w:pPr>
              <w:spacing w:after="0" w:line="240" w:lineRule="auto"/>
            </w:pPr>
            <w:r>
              <w:rPr>
                <w:b/>
                <w:color w:val="FFFFFF"/>
                <w:sz w:val="17"/>
              </w:rPr>
              <w:t>Version</w:t>
            </w:r>
          </w:p>
        </w:tc>
        <w:tc>
          <w:tcPr>
            <w:tcW w:type="dxa" w:w="1701"/>
            <w:shd w:val="clear" w:color="auto" w:fill="1F3864"/>
          </w:tcPr>
          <w:p>
            <w:pPr>
              <w:spacing w:after="0" w:line="240" w:lineRule="auto"/>
            </w:pPr>
            <w:r>
              <w:rPr>
                <w:b/>
                <w:color w:val="FFFFFF"/>
                <w:sz w:val="17"/>
              </w:rPr>
              <w:t>Date</w:t>
            </w:r>
          </w:p>
        </w:tc>
        <w:tc>
          <w:tcPr>
            <w:tcW w:type="dxa" w:w="2098"/>
            <w:shd w:val="clear" w:color="auto" w:fill="1F3864"/>
          </w:tcPr>
          <w:p>
            <w:pPr>
              <w:spacing w:after="0" w:line="240" w:lineRule="auto"/>
            </w:pPr>
            <w:r>
              <w:rPr>
                <w:b/>
                <w:color w:val="FFFFFF"/>
                <w:sz w:val="17"/>
              </w:rPr>
              <w:t>Owner</w:t>
            </w:r>
          </w:p>
        </w:tc>
        <w:tc>
          <w:tcPr>
            <w:tcW w:type="dxa" w:w="4535"/>
            <w:shd w:val="clear" w:color="auto" w:fill="1F3864"/>
          </w:tcPr>
          <w:p>
            <w:pPr>
              <w:spacing w:after="0" w:line="240" w:lineRule="auto"/>
            </w:pPr>
            <w:r>
              <w:rPr>
                <w:b/>
                <w:color w:val="FFFFFF"/>
                <w:sz w:val="17"/>
              </w:rPr>
              <w:t>Summary</w:t>
            </w:r>
          </w:p>
        </w:tc>
      </w:tr>
      <w:tr>
        <w:trPr>
          <w:cantSplit/>
        </w:trPr>
        <w:tc>
          <w:tcPr>
            <w:tcW w:type="dxa" w:w="1134"/>
          </w:tcPr>
          <w:p>
            <w:pPr>
              <w:spacing w:after="40" w:line="240" w:lineRule="auto"/>
            </w:pPr>
            <w:r>
              <w:rPr>
                <w:b w:val="0"/>
                <w:i w:val="0"/>
                <w:sz w:val="17"/>
              </w:rPr>
              <w:t>5.0</w:t>
            </w:r>
          </w:p>
        </w:tc>
        <w:tc>
          <w:tcPr>
            <w:tcW w:type="dxa" w:w="1701"/>
          </w:tcPr>
          <w:p>
            <w:pPr>
              <w:spacing w:after="40" w:line="240" w:lineRule="auto"/>
            </w:pPr>
            <w:r>
              <w:rPr>
                <w:b w:val="0"/>
                <w:i w:val="0"/>
                <w:sz w:val="17"/>
              </w:rPr>
              <w:t>16 January 2026</w:t>
            </w:r>
          </w:p>
        </w:tc>
        <w:tc>
          <w:tcPr>
            <w:tcW w:type="dxa" w:w="2098"/>
          </w:tcPr>
          <w:p>
            <w:pPr>
              <w:spacing w:after="40" w:line="240" w:lineRule="auto"/>
            </w:pPr>
            <w:r>
              <w:rPr>
                <w:b w:val="0"/>
                <w:i w:val="0"/>
                <w:sz w:val="17"/>
              </w:rPr>
              <w:t>Elena Marchetti</w:t>
            </w:r>
          </w:p>
        </w:tc>
        <w:tc>
          <w:tcPr>
            <w:tcW w:type="dxa" w:w="4535"/>
          </w:tcPr>
          <w:p>
            <w:pPr>
              <w:spacing w:after="40" w:line="240" w:lineRule="auto"/>
            </w:pPr>
            <w:r>
              <w:rPr>
                <w:b w:val="0"/>
                <w:i w:val="0"/>
                <w:sz w:val="17"/>
              </w:rPr>
              <w:t>Rewritten for the UK IDTA and the EU SCCs; added DP-12 liability position.</w:t>
            </w:r>
          </w:p>
        </w:tc>
      </w:tr>
      <w:tr>
        <w:trPr>
          <w:cantSplit/>
        </w:trPr>
        <w:tc>
          <w:tcPr>
            <w:tcW w:type="dxa" w:w="1134"/>
          </w:tcPr>
          <w:p>
            <w:pPr>
              <w:spacing w:after="40" w:line="240" w:lineRule="auto"/>
            </w:pPr>
            <w:r>
              <w:rPr>
                <w:b w:val="0"/>
                <w:i w:val="0"/>
                <w:sz w:val="17"/>
              </w:rPr>
              <w:t>4.3</w:t>
            </w:r>
          </w:p>
        </w:tc>
        <w:tc>
          <w:tcPr>
            <w:tcW w:type="dxa" w:w="1701"/>
          </w:tcPr>
          <w:p>
            <w:pPr>
              <w:spacing w:after="40" w:line="240" w:lineRule="auto"/>
            </w:pPr>
            <w:r>
              <w:rPr>
                <w:b w:val="0"/>
                <w:i w:val="0"/>
                <w:sz w:val="17"/>
              </w:rPr>
              <w:t>8 July 2025</w:t>
            </w:r>
          </w:p>
        </w:tc>
        <w:tc>
          <w:tcPr>
            <w:tcW w:type="dxa" w:w="2098"/>
          </w:tcPr>
          <w:p>
            <w:pPr>
              <w:spacing w:after="40" w:line="240" w:lineRule="auto"/>
            </w:pPr>
            <w:r>
              <w:rPr>
                <w:b w:val="0"/>
                <w:i w:val="0"/>
                <w:sz w:val="17"/>
              </w:rPr>
              <w:t>Elena Marchetti</w:t>
            </w:r>
          </w:p>
        </w:tc>
        <w:tc>
          <w:tcPr>
            <w:tcW w:type="dxa" w:w="4535"/>
          </w:tcPr>
          <w:p>
            <w:pPr>
              <w:spacing w:after="40" w:line="240" w:lineRule="auto"/>
            </w:pPr>
            <w:r>
              <w:rPr>
                <w:b w:val="0"/>
                <w:i w:val="0"/>
                <w:sz w:val="17"/>
              </w:rPr>
              <w:t>Updated breach notification to 24 hours; added regulated-customer audit fallback.</w:t>
            </w:r>
          </w:p>
        </w:tc>
      </w:tr>
      <w:tr>
        <w:trPr>
          <w:cantSplit/>
        </w:trPr>
        <w:tc>
          <w:tcPr>
            <w:tcW w:type="dxa" w:w="1134"/>
          </w:tcPr>
          <w:p>
            <w:pPr>
              <w:spacing w:after="40" w:line="240" w:lineRule="auto"/>
            </w:pPr>
            <w:r>
              <w:rPr>
                <w:b w:val="0"/>
                <w:i w:val="0"/>
                <w:sz w:val="17"/>
              </w:rPr>
              <w:t>4.2</w:t>
            </w:r>
          </w:p>
        </w:tc>
        <w:tc>
          <w:tcPr>
            <w:tcW w:type="dxa" w:w="1701"/>
          </w:tcPr>
          <w:p>
            <w:pPr>
              <w:spacing w:after="40" w:line="240" w:lineRule="auto"/>
            </w:pPr>
            <w:r>
              <w:rPr>
                <w:b w:val="0"/>
                <w:i w:val="0"/>
                <w:sz w:val="17"/>
              </w:rPr>
              <w:t>11 February 2025</w:t>
            </w:r>
          </w:p>
        </w:tc>
        <w:tc>
          <w:tcPr>
            <w:tcW w:type="dxa" w:w="2098"/>
          </w:tcPr>
          <w:p>
            <w:pPr>
              <w:spacing w:after="40" w:line="240" w:lineRule="auto"/>
            </w:pPr>
            <w:r>
              <w:rPr>
                <w:b w:val="0"/>
                <w:i w:val="0"/>
                <w:sz w:val="17"/>
              </w:rPr>
              <w:t>Tom Whitlock</w:t>
            </w:r>
          </w:p>
        </w:tc>
        <w:tc>
          <w:tcPr>
            <w:tcW w:type="dxa" w:w="4535"/>
          </w:tcPr>
          <w:p>
            <w:pPr>
              <w:spacing w:after="40" w:line="240" w:lineRule="auto"/>
            </w:pPr>
            <w:r>
              <w:rPr>
                <w:b w:val="0"/>
                <w:i w:val="0"/>
                <w:sz w:val="17"/>
              </w:rPr>
              <w:t>Aligned sub-processor position with the new infrastructure contracts.</w:t>
            </w:r>
          </w:p>
        </w:tc>
      </w:tr>
    </w:tbl>
    <w:p>
      <w:pPr>
        <w:spacing w:after="0"/>
      </w:pPr>
      <w:r>
        <w:br w:type="page"/>
      </w:r>
    </w:p>
    <w:p>
      <w:pPr>
        <w:pStyle w:val="Heading1"/>
      </w:pPr>
      <w:r>
        <w:t>Position tables</w:t>
      </w:r>
    </w:p>
    <w:p>
      <w:r>
        <w:rPr>
          <w:b w:val="0"/>
          <w:i w:val="0"/>
        </w:rPr>
        <w:t>Each table below is one position. Read the Applies to row first; all twelve positions govern customer DPAs, including the data protection terms in a master services agreement.</w:t>
      </w:r>
    </w:p>
    <w:p>
      <w:r>
        <w:rPr>
          <w:b w:val="0"/>
          <w:i w:val="0"/>
        </w:rPr>
        <w:t>Position IDs are stable and are used in deal summaries and approval requests. Quote the ID, not the heading, when you escalate.</w:t>
      </w:r>
    </w:p>
    <w:p>
      <w:pPr>
        <w:pStyle w:val="Heading2"/>
      </w:pPr>
      <w:r>
        <w:t>DP-01  Roles and scope</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DP-01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DPA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Bramber is a processor and the customer is a controller. The DPA describes the subject matter, duration, nature and purpose of processing, the categories of personal data and the categories of data subjects in a schedule. Bramber does not determine the purposes or means of processing.</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Bramber is a processor for customer data and an independent controller for account, billing and service telemetry data. The DPA must identify the controller data separately and limit the processor obligations to the customer data.</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Any description of Bramber as a controller or joint controller of customer data, or any obligation to determine the lawful basis for the customer's processing.</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Elena Marchetti, DPO. Priya Raghavan, GC for any controller or joint-controller language.</w:t>
            </w:r>
          </w:p>
        </w:tc>
      </w:tr>
      <w:tr>
        <w:trPr>
          <w:cantSplit/>
        </w:trPr>
        <w:tc>
          <w:tcPr>
            <w:tcW w:type="dxa" w:w="2268"/>
            <w:shd w:val="clear" w:color="auto" w:fill="EDF1F7"/>
          </w:tcPr>
          <w:p>
            <w:pPr>
              <w:spacing w:after="40"/>
            </w:pPr>
            <w:r>
              <w:rPr>
                <w:b/>
                <w:color w:val="1F3864"/>
                <w:sz w:val="18"/>
              </w:rPr>
              <w:t>Rationale</w:t>
            </w:r>
          </w:p>
        </w:tc>
        <w:tc>
          <w:tcPr>
            <w:tcW w:type="dxa" w:w="7143"/>
          </w:tcPr>
          <w:p>
            <w:pPr>
              <w:spacing w:after="40" w:line="252" w:lineRule="auto"/>
            </w:pPr>
            <w:r>
              <w:rPr>
                <w:b w:val="0"/>
                <w:i w:val="0"/>
                <w:sz w:val="18"/>
              </w:rPr>
              <w:t>Role allocation is the foundation of the DPA. A processor acts on instructions; a controller decides why and how data is processed. Accepting controller language would make Bramber responsible for the customer's lawful basis, notices and retention decisions, which we cannot verify and do not control.</w:t>
            </w:r>
          </w:p>
        </w:tc>
      </w:tr>
    </w:tbl>
    <w:p>
      <w:pPr>
        <w:spacing w:after="40"/>
      </w:pPr>
    </w:p>
    <w:p>
      <w:pPr>
        <w:pStyle w:val="Heading2"/>
      </w:pPr>
      <w:r>
        <w:t>DP-02  Processing instructions</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DP-02</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DPA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Bramber processes personal data only on the customer's documented instructions, including for transfers, unless required by law. If a law requires processing, Bramber informs the customer before processing unless prohibited from doing so. The DPA and the order form together constitute the instructions.</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 general instruction to provide the services in accordance with the documentation, with a change-control process for new instructions and a right to charge for instruction changes.</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An obligation to comply with instructions that are unlawful, or a right for the customer to instruct processing outside the scope of the services without a change order.</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Elena Marchetti, DPO.</w:t>
            </w:r>
          </w:p>
        </w:tc>
      </w:tr>
      <w:tr>
        <w:trPr>
          <w:cantSplit/>
        </w:trPr>
        <w:tc>
          <w:tcPr>
            <w:tcW w:type="dxa" w:w="2268"/>
            <w:shd w:val="clear" w:color="auto" w:fill="EDF1F7"/>
          </w:tcPr>
          <w:p>
            <w:pPr>
              <w:spacing w:after="40"/>
            </w:pPr>
            <w:r>
              <w:rPr>
                <w:b/>
                <w:color w:val="1F3864"/>
                <w:sz w:val="18"/>
              </w:rPr>
              <w:t>Rationale</w:t>
            </w:r>
          </w:p>
        </w:tc>
        <w:tc>
          <w:tcPr>
            <w:tcW w:type="dxa" w:w="7143"/>
          </w:tcPr>
          <w:p>
            <w:pPr>
              <w:spacing w:after="40" w:line="252" w:lineRule="auto"/>
            </w:pPr>
            <w:r>
              <w:rPr>
                <w:b w:val="0"/>
                <w:i w:val="0"/>
                <w:sz w:val="18"/>
              </w:rPr>
              <w:t>The instruction set is what separates a processor from a controller in practice. It also gives Bramber a defensible position if a customer asks for processing that is outside the documented service or unlawful in the destination country.</w:t>
            </w:r>
          </w:p>
        </w:tc>
      </w:tr>
    </w:tbl>
    <w:p>
      <w:pPr>
        <w:spacing w:after="40"/>
      </w:pPr>
    </w:p>
    <w:p>
      <w:pPr>
        <w:pStyle w:val="Heading2"/>
      </w:pPr>
      <w:r>
        <w:t>DP-03  Confidentiality of personnel</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DP-03</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DPA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Personnel authorised to process personal data are bound by confidentiality obligations, have received appropriate training, and have access only on a need-to-know basis. Confidentiality survives termination of employment.</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Confidentiality obligations in employment contracts plus annual privacy training, with evidence available on request rather than a separate undertaking for each engagement.</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 requirement to name every individual with access, or to obtain customer approval for individual staff members.</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Elena Marchetti, DPO.</w:t>
            </w:r>
          </w:p>
        </w:tc>
      </w:tr>
      <w:tr>
        <w:trPr>
          <w:cantSplit/>
        </w:trPr>
        <w:tc>
          <w:tcPr>
            <w:tcW w:type="dxa" w:w="2268"/>
            <w:shd w:val="clear" w:color="auto" w:fill="EDF1F7"/>
          </w:tcPr>
          <w:p>
            <w:pPr>
              <w:spacing w:after="40"/>
            </w:pPr>
            <w:r>
              <w:rPr>
                <w:b/>
                <w:color w:val="1F3864"/>
                <w:sz w:val="18"/>
              </w:rPr>
              <w:t>Rationale</w:t>
            </w:r>
          </w:p>
        </w:tc>
        <w:tc>
          <w:tcPr>
            <w:tcW w:type="dxa" w:w="7143"/>
          </w:tcPr>
          <w:p>
            <w:pPr>
              <w:spacing w:after="40" w:line="252" w:lineRule="auto"/>
            </w:pPr>
            <w:r>
              <w:rPr>
                <w:b w:val="0"/>
                <w:i w:val="0"/>
                <w:sz w:val="18"/>
              </w:rPr>
              <w:t>Access control is an operational security measure, not a contractual permission slip. Naming individuals creates a maintenance burden and a privacy issue of its own; the customer needs assurance about the control, not the names.</w:t>
            </w:r>
          </w:p>
        </w:tc>
      </w:tr>
    </w:tbl>
    <w:p>
      <w:pPr>
        <w:spacing w:after="40"/>
      </w:pPr>
    </w:p>
    <w:p>
      <w:pPr>
        <w:pStyle w:val="Heading2"/>
      </w:pPr>
      <w:r>
        <w:t>DP-04  Security measures</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DP-04</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DPA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The technical and organisational measures in the security schedule are appropriate to the risk and include encryption in transit and at rest, role-based access, logging and monitoring, vulnerability management, secure development, business continuity and incident response. Bramber maintains ISO 27001 and SOC 2 Type II.</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The customer's security schedule where it is based on a recognised standard and does not require controls outside the current architecture. Any gap is recorded in a remediation plan with dates.</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 requirement for controls Bramber does not operate, such as customer-held encryption keys without a managed service, on-premises deployment, or physical segregation of customer data.</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Elena Marchetti, DPO. Jonas Reed, CISO for any control gap or remediation plan.</w:t>
            </w:r>
          </w:p>
        </w:tc>
      </w:tr>
      <w:tr>
        <w:trPr>
          <w:cantSplit/>
        </w:trPr>
        <w:tc>
          <w:tcPr>
            <w:tcW w:type="dxa" w:w="2268"/>
            <w:shd w:val="clear" w:color="auto" w:fill="EDF1F7"/>
          </w:tcPr>
          <w:p>
            <w:pPr>
              <w:spacing w:after="40"/>
            </w:pPr>
            <w:r>
              <w:rPr>
                <w:b/>
                <w:color w:val="1F3864"/>
                <w:sz w:val="18"/>
              </w:rPr>
              <w:t>Rationale</w:t>
            </w:r>
          </w:p>
        </w:tc>
        <w:tc>
          <w:tcPr>
            <w:tcW w:type="dxa" w:w="7143"/>
          </w:tcPr>
          <w:p>
            <w:pPr>
              <w:spacing w:after="40" w:line="252" w:lineRule="auto"/>
            </w:pPr>
            <w:r>
              <w:rPr>
                <w:b w:val="0"/>
                <w:i w:val="0"/>
                <w:sz w:val="18"/>
              </w:rPr>
              <w:t>A security schedule is a statement of fact as well as a promise. Agreeing to a control we do not operate is a misrepresentation risk and creates an audit finding on day one. If the customer needs a control we do not have, price the change or decline the deal.</w:t>
            </w:r>
          </w:p>
        </w:tc>
      </w:tr>
    </w:tbl>
    <w:p>
      <w:pPr>
        <w:spacing w:after="40"/>
      </w:pPr>
    </w:p>
    <w:p>
      <w:pPr>
        <w:pStyle w:val="Heading2"/>
      </w:pPr>
      <w:r>
        <w:t>DP-05  Sub-processors</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DP-05</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DPA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The customer gives general written authorisation for sub-processors. Bramber maintains a current list in the DPA, notifies changes at least 30 days in advance, and gives the customer a right to object on reasonable data protection grounds. Bramber remains liable for its sub-processors' performance.</w:t>
            </w:r>
          </w:p>
          <w:p>
            <w:pPr>
              <w:spacing w:after="40" w:line="252" w:lineRule="auto"/>
            </w:pPr>
            <w:r>
              <w:rPr>
                <w:b w:val="0"/>
                <w:i w:val="0"/>
                <w:sz w:val="18"/>
              </w:rPr>
              <w:t>The sub-processor list in the DPA shall state, for each sub-processor:</w:t>
            </w:r>
          </w:p>
          <w:p>
            <w:pPr>
              <w:spacing w:after="40" w:line="252" w:lineRule="auto"/>
            </w:pPr>
            <w:r>
              <w:rPr>
                <w:b w:val="0"/>
                <w:i w:val="0"/>
                <w:sz w:val="18"/>
              </w:rPr>
              <w:t>its legal name and registered address;</w:t>
            </w:r>
          </w:p>
          <w:p>
            <w:pPr>
              <w:spacing w:after="40" w:line="252" w:lineRule="auto"/>
            </w:pPr>
            <w:r>
              <w:rPr>
                <w:b w:val="0"/>
                <w:i w:val="0"/>
                <w:sz w:val="18"/>
              </w:rPr>
              <w:t>the processing it performs and the categories of personal data concerned;</w:t>
            </w:r>
          </w:p>
          <w:p>
            <w:pPr>
              <w:spacing w:after="40" w:line="252" w:lineRule="auto"/>
            </w:pPr>
            <w:r>
              <w:rPr>
                <w:b w:val="0"/>
                <w:i w:val="0"/>
                <w:sz w:val="18"/>
              </w:rPr>
              <w:t>the country of processing and the transfer mechanism, where applicable.</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Prior written consent for new sub-processors, not unreasonably withheld or delayed, with deemed approval after 10 Business Days and a right to use affiliates without consent.</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Absolute consent for each sub-processor, a veto over cloud infrastructure providers, or a requirement that Bramber's affiliates be treated as third parties requiring consent.</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Elena Marchetti, DPO. Tom Whitlock, Senior Commercial Counsel for any consent right beyond general authorisation.</w:t>
            </w:r>
          </w:p>
        </w:tc>
      </w:tr>
      <w:tr>
        <w:trPr>
          <w:cantSplit/>
        </w:trPr>
        <w:tc>
          <w:tcPr>
            <w:tcW w:type="dxa" w:w="2268"/>
            <w:shd w:val="clear" w:color="auto" w:fill="EDF1F7"/>
          </w:tcPr>
          <w:p>
            <w:pPr>
              <w:spacing w:after="40"/>
            </w:pPr>
            <w:r>
              <w:rPr>
                <w:b/>
                <w:color w:val="1F3864"/>
                <w:sz w:val="18"/>
              </w:rPr>
              <w:t>Rationale</w:t>
            </w:r>
          </w:p>
        </w:tc>
        <w:tc>
          <w:tcPr>
            <w:tcW w:type="dxa" w:w="7143"/>
          </w:tcPr>
          <w:p>
            <w:pPr>
              <w:spacing w:after="40" w:line="252" w:lineRule="auto"/>
            </w:pPr>
            <w:r>
              <w:rPr>
                <w:b w:val="0"/>
                <w:i w:val="0"/>
                <w:sz w:val="18"/>
              </w:rPr>
              <w:t>Our platform runs on hyperscale infrastructure and a small number of specialist services. A veto right over sub-processors is a veto over our ability to operate and scale. General authorisation with notice and objection is the model the EDPB guidelines contemplate for stable processing chains.</w:t>
            </w:r>
          </w:p>
        </w:tc>
      </w:tr>
    </w:tbl>
    <w:p>
      <w:pPr>
        <w:spacing w:after="40"/>
      </w:pPr>
    </w:p>
    <w:p>
      <w:pPr>
        <w:pStyle w:val="Heading2"/>
      </w:pPr>
      <w:r>
        <w:t>DP-06  International transfers</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DP-06</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DPA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Transfers outside the UK or EEA are covered by the UK International Data Transfer Addendum, the EU Standard Contractual Clauses (Module 2) or an adequacy decision, together with a transfer risk assessment. The mechanism is named in the DPA and matches the destination.</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The customer's preferred transfer mechanism where it is legally valid and the destination has been assessed. A supplementary measures schedule may be required for US transfers.</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Transfers to a country without a valid mechanism, a representation that the destination is adequate when it is not, or an obligation to use a mechanism the customer has not executed.</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Elena Marchetti, DPO.</w:t>
            </w:r>
          </w:p>
        </w:tc>
      </w:tr>
      <w:tr>
        <w:trPr>
          <w:cantSplit/>
        </w:trPr>
        <w:tc>
          <w:tcPr>
            <w:tcW w:type="dxa" w:w="2268"/>
            <w:shd w:val="clear" w:color="auto" w:fill="EDF1F7"/>
          </w:tcPr>
          <w:p>
            <w:pPr>
              <w:spacing w:after="40"/>
            </w:pPr>
            <w:r>
              <w:rPr>
                <w:b/>
                <w:color w:val="1F3864"/>
                <w:sz w:val="18"/>
              </w:rPr>
              <w:t>Rationale</w:t>
            </w:r>
          </w:p>
        </w:tc>
        <w:tc>
          <w:tcPr>
            <w:tcW w:type="dxa" w:w="7143"/>
          </w:tcPr>
          <w:p>
            <w:pPr>
              <w:spacing w:after="40" w:line="252" w:lineRule="auto"/>
            </w:pPr>
            <w:r>
              <w:rPr>
                <w:b w:val="0"/>
                <w:i w:val="0"/>
                <w:sz w:val="18"/>
              </w:rPr>
              <w:t>A transfer clause is only as good as the mechanism behind it. The UK Addendum and the EU SCCs are the two mechanisms our customers most often require; naming the wrong one creates a gap that a regulator will find before we do.</w:t>
            </w:r>
          </w:p>
        </w:tc>
      </w:tr>
    </w:tbl>
    <w:p>
      <w:pPr>
        <w:spacing w:after="40"/>
      </w:pPr>
    </w:p>
    <w:p>
      <w:pPr>
        <w:pStyle w:val="Heading2"/>
      </w:pPr>
      <w:r>
        <w:t>DP-07  Data subject rights</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DP-07</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DPA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Bramber assists the customer with data subject requests by appropriate technical and organisational measures, taking into account the nature of the processing. Assistance is provided within the customer's response window where feasible, and Bramber does not respond to requests directly unless instructed.</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Assistance through the self-service tools in the platform, with bespoke support charged at standard professional services rates where the request requires manual work.</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An obligation to respond directly to data subjects on the customer's behalf, or to guarantee a response within a period shorter than the platform's deletion and export cycles allow.</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Elena Marchetti, DPO.</w:t>
            </w:r>
          </w:p>
        </w:tc>
      </w:tr>
      <w:tr>
        <w:trPr>
          <w:cantSplit/>
        </w:trPr>
        <w:tc>
          <w:tcPr>
            <w:tcW w:type="dxa" w:w="2268"/>
            <w:shd w:val="clear" w:color="auto" w:fill="EDF1F7"/>
          </w:tcPr>
          <w:p>
            <w:pPr>
              <w:spacing w:after="40"/>
            </w:pPr>
            <w:r>
              <w:rPr>
                <w:b/>
                <w:color w:val="1F3864"/>
                <w:sz w:val="18"/>
              </w:rPr>
              <w:t>Rationale</w:t>
            </w:r>
          </w:p>
        </w:tc>
        <w:tc>
          <w:tcPr>
            <w:tcW w:type="dxa" w:w="7143"/>
          </w:tcPr>
          <w:p>
            <w:pPr>
              <w:spacing w:after="40" w:line="252" w:lineRule="auto"/>
            </w:pPr>
            <w:r>
              <w:rPr>
                <w:b w:val="0"/>
                <w:i w:val="0"/>
                <w:sz w:val="18"/>
              </w:rPr>
              <w:t>The customer owns the relationship with the data subject. Our obligation is to give them the tools and information they need, not to become the controller's front office. A direct-response obligation also creates a risk of conflicting instructions from different customers.</w:t>
            </w:r>
          </w:p>
        </w:tc>
      </w:tr>
    </w:tbl>
    <w:p>
      <w:pPr>
        <w:spacing w:after="40"/>
      </w:pPr>
    </w:p>
    <w:p>
      <w:pPr>
        <w:pStyle w:val="Heading2"/>
      </w:pPr>
      <w:r>
        <w:t>DP-08  Personal data breach notification</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DP-08</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DPA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Bramber notifies the customer without undue delay and in any event within 24 hours of becoming aware of a personal data breach affecting customer data. The notice includes the nature of the breach, the data and individuals affected, likely consequences and measures taken or proposed.</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Notification within 72 hours of awareness, with an initial notice followed by a fuller report within 5 Business Days. A 72-hour period is the regulatory outer limit for the controller, not a target for the processor.</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Notification within 5 Business Days or more, a requirement to notify the regulator directly on the customer's behalf, or an obligation to indemnify the customer for all regulatory fines.</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Elena Marchetti, DPO. Jonas Reed, CISO for any change to the notification period.</w:t>
            </w:r>
          </w:p>
        </w:tc>
      </w:tr>
      <w:tr>
        <w:trPr>
          <w:cantSplit/>
        </w:trPr>
        <w:tc>
          <w:tcPr>
            <w:tcW w:type="dxa" w:w="2268"/>
            <w:shd w:val="clear" w:color="auto" w:fill="EDF1F7"/>
          </w:tcPr>
          <w:p>
            <w:pPr>
              <w:spacing w:after="40"/>
            </w:pPr>
            <w:r>
              <w:rPr>
                <w:b/>
                <w:color w:val="1F3864"/>
                <w:sz w:val="18"/>
              </w:rPr>
              <w:t>Rationale</w:t>
            </w:r>
          </w:p>
        </w:tc>
        <w:tc>
          <w:tcPr>
            <w:tcW w:type="dxa" w:w="7143"/>
          </w:tcPr>
          <w:p>
            <w:pPr>
              <w:spacing w:after="40" w:line="252" w:lineRule="auto"/>
            </w:pPr>
            <w:r>
              <w:rPr>
                <w:b w:val="0"/>
                <w:i w:val="0"/>
                <w:sz w:val="18"/>
              </w:rPr>
              <w:t>The controller's 72-hour clock starts when it becomes aware, which is usually when we tell it. A processor notification period that consumes the whole 72 hours leaves the customer unable to comply. Twenty-four hours is operationally achievable for a security team of our size.</w:t>
            </w:r>
          </w:p>
        </w:tc>
      </w:tr>
    </w:tbl>
    <w:p>
      <w:pPr>
        <w:spacing w:after="40"/>
      </w:pPr>
    </w:p>
    <w:p>
      <w:pPr>
        <w:pStyle w:val="Heading2"/>
      </w:pPr>
      <w:r>
        <w:t>DP-09  DPIAs and prior consultation</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DP-09</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DPA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Bramber provides reasonable assistance with data protection impact assessments and prior consultations, including the information in the DPA, the security schedule and the transfer assessment. Assistance that requires significant engineering or legal work is charged at standard rates.</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 completed pre-assessment questionnaire and a standard DPIA pack, with bespoke assistance charged at cost and subject to a written scope.</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An open-ended obligation to assist with any DPIA the customer chooses to conduct, or a requirement to participate in regulatory consultations without a defined scope.</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Elena Marchetti, DPO.</w:t>
            </w:r>
          </w:p>
        </w:tc>
      </w:tr>
      <w:tr>
        <w:trPr>
          <w:cantSplit/>
        </w:trPr>
        <w:tc>
          <w:tcPr>
            <w:tcW w:type="dxa" w:w="2268"/>
            <w:shd w:val="clear" w:color="auto" w:fill="EDF1F7"/>
          </w:tcPr>
          <w:p>
            <w:pPr>
              <w:spacing w:after="40"/>
            </w:pPr>
            <w:r>
              <w:rPr>
                <w:b/>
                <w:color w:val="1F3864"/>
                <w:sz w:val="18"/>
              </w:rPr>
              <w:t>Rationale</w:t>
            </w:r>
          </w:p>
        </w:tc>
        <w:tc>
          <w:tcPr>
            <w:tcW w:type="dxa" w:w="7143"/>
          </w:tcPr>
          <w:p>
            <w:pPr>
              <w:spacing w:after="40" w:line="252" w:lineRule="auto"/>
            </w:pPr>
            <w:r>
              <w:rPr>
                <w:b w:val="0"/>
                <w:i w:val="0"/>
                <w:sz w:val="18"/>
              </w:rPr>
              <w:t>A DPIA is the controller's obligation. We can supply the facts about our processing, but we cannot assess the customer's purpose, necessity or proportionality. An open-ended assistance clause converts a legal duty into an unbounded professional services commitment.</w:t>
            </w:r>
          </w:p>
        </w:tc>
      </w:tr>
    </w:tbl>
    <w:p>
      <w:pPr>
        <w:spacing w:after="40"/>
      </w:pPr>
    </w:p>
    <w:p>
      <w:pPr>
        <w:pStyle w:val="Heading2"/>
      </w:pPr>
      <w:r>
        <w:t>DP-10  Audit and inspection</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DP-10</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DPA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The customer may audit Bramber's compliance once in any 12-month period, on at least 30 days' written notice, during business hours and remotely where possible. The auditor is independent, bound by confidentiality and has no access to other customers' data. The customer bears the cost unless the audit reveals a material discrepancy.</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Twice in any 12-month period for regulated customers, with 15 Business Days' notice, a maximum of five auditor days per audit and costs shared where the audit is inconclusive.</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Audits on less than 5 Business Days' notice, unlimited frequency, access to production systems or sub-processor premises, or audits at Bramber's cost regardless of outcome.</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Elena Marchetti, DPO. Jonas Reed, CISO for notice of less than 15 Business Days.</w:t>
            </w:r>
          </w:p>
        </w:tc>
      </w:tr>
      <w:tr>
        <w:trPr>
          <w:cantSplit/>
        </w:trPr>
        <w:tc>
          <w:tcPr>
            <w:tcW w:type="dxa" w:w="2268"/>
            <w:shd w:val="clear" w:color="auto" w:fill="EDF1F7"/>
          </w:tcPr>
          <w:p>
            <w:pPr>
              <w:spacing w:after="40"/>
            </w:pPr>
            <w:r>
              <w:rPr>
                <w:b/>
                <w:color w:val="1F3864"/>
                <w:sz w:val="18"/>
              </w:rPr>
              <w:t>Rationale</w:t>
            </w:r>
          </w:p>
        </w:tc>
        <w:tc>
          <w:tcPr>
            <w:tcW w:type="dxa" w:w="7143"/>
          </w:tcPr>
          <w:p>
            <w:pPr>
              <w:spacing w:after="40" w:line="252" w:lineRule="auto"/>
            </w:pPr>
            <w:r>
              <w:rPr>
                <w:b w:val="0"/>
                <w:i w:val="0"/>
                <w:sz w:val="18"/>
              </w:rPr>
              <w:t>Audit rights are the most frequently over-drafted part of a DPA. The customer rarely needs a physical inspection; it needs evidence that the controls operate. Remote audits, certifications and a defined scope give the same assurance at a fraction of the operational cost.</w:t>
            </w:r>
          </w:p>
        </w:tc>
      </w:tr>
    </w:tbl>
    <w:p>
      <w:pPr>
        <w:spacing w:after="40"/>
      </w:pPr>
    </w:p>
    <w:p>
      <w:pPr>
        <w:pStyle w:val="Heading2"/>
      </w:pPr>
      <w:r>
        <w:t>DP-11  Return and deletion</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DP-11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DPA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On termination, Bramber returns customer data in a structured, commonly used and machine-readable format, then deletes it within 30 days, unless retention is required by law. A certificate of deletion is available on request. Backup copies are deleted in accordance with the backup rotation.</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Deletion within 90 days to align with the backup cycle, with a certificate of deletion and a retention carve-out for statutory records.</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Immediate deletion of backups, an obligation to retain data indefinitely, or a right for the customer to audit deletion by accessing Bramber's infrastructure.</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Elena Marchetti, DPO.</w:t>
            </w:r>
          </w:p>
        </w:tc>
      </w:tr>
      <w:tr>
        <w:trPr>
          <w:cantSplit/>
        </w:trPr>
        <w:tc>
          <w:tcPr>
            <w:tcW w:type="dxa" w:w="2268"/>
            <w:shd w:val="clear" w:color="auto" w:fill="EDF1F7"/>
          </w:tcPr>
          <w:p>
            <w:pPr>
              <w:spacing w:after="40"/>
            </w:pPr>
            <w:r>
              <w:rPr>
                <w:b/>
                <w:color w:val="1F3864"/>
                <w:sz w:val="18"/>
              </w:rPr>
              <w:t>Rationale</w:t>
            </w:r>
          </w:p>
        </w:tc>
        <w:tc>
          <w:tcPr>
            <w:tcW w:type="dxa" w:w="7143"/>
          </w:tcPr>
          <w:p>
            <w:pPr>
              <w:spacing w:after="40" w:line="252" w:lineRule="auto"/>
            </w:pPr>
            <w:r>
              <w:rPr>
                <w:b w:val="0"/>
                <w:i w:val="0"/>
                <w:sz w:val="18"/>
              </w:rPr>
              <w:t>Deletion is constrained by the backup architecture. Promising immediate deletion of every copy is a promise we cannot keep and a misrepresentation risk. A 30-day primary deletion plus a documented backup rotation is the honest position.</w:t>
            </w:r>
          </w:p>
        </w:tc>
      </w:tr>
    </w:tbl>
    <w:p>
      <w:pPr>
        <w:spacing w:after="40"/>
      </w:pPr>
    </w:p>
    <w:p>
      <w:pPr>
        <w:pStyle w:val="Heading2"/>
      </w:pPr>
      <w:r>
        <w:t>DP-12  Liability, indemnity and term</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DP-12</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DPA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Liability under the DPA is subject to the limitations in the MSA. Each party is responsible for its own regulatory fines. Bramber indemnifies the customer for third-party claims caused by Bramber's breach of the DPA, subject to the cap. The DPA continues for as long as Bramber processes personal data.</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 separate data protection super-cap of 2x the annual fee, with fines allocated according to responsibility and a mutual obligation to mitigate.</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An uncapped indemnity for all fines, penalties and compensation, or an obligation to indemnify the customer for the customer's own acts and omissions.</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Elena Marchetti, DPO. Priya Raghavan, GC and Marcus Feld, CFO for any uncapped liability or indemnity.</w:t>
            </w:r>
          </w:p>
        </w:tc>
      </w:tr>
      <w:tr>
        <w:trPr>
          <w:cantSplit/>
        </w:trPr>
        <w:tc>
          <w:tcPr>
            <w:tcW w:type="dxa" w:w="2268"/>
            <w:shd w:val="clear" w:color="auto" w:fill="EDF1F7"/>
          </w:tcPr>
          <w:p>
            <w:pPr>
              <w:spacing w:after="40"/>
            </w:pPr>
            <w:r>
              <w:rPr>
                <w:b/>
                <w:color w:val="1F3864"/>
                <w:sz w:val="18"/>
              </w:rPr>
              <w:t>Rationale</w:t>
            </w:r>
          </w:p>
        </w:tc>
        <w:tc>
          <w:tcPr>
            <w:tcW w:type="dxa" w:w="7143"/>
          </w:tcPr>
          <w:p>
            <w:pPr>
              <w:spacing w:after="40" w:line="252" w:lineRule="auto"/>
            </w:pPr>
            <w:r>
              <w:rPr>
                <w:b w:val="0"/>
                <w:i w:val="0"/>
                <w:sz w:val="18"/>
              </w:rPr>
              <w:t>A regulatory fine is the consequence of a breach of law, not a debt that can be allocated by contract. An uncapped indemnity for fines is uninsurable and would expose the company to a liability larger than its balance sheet. The MSA cap is the only defensible allocation for a business of our size.</w:t>
            </w:r>
          </w:p>
        </w:tc>
      </w:tr>
    </w:tbl>
    <w:p>
      <w:pPr>
        <w:spacing w:after="40"/>
      </w:pPr>
    </w:p>
    <w:sectPr w:rsidR="00FC693F" w:rsidRPr="0006063C" w:rsidSect="00034616">
      <w:headerReference w:type="default" r:id="rId9"/>
      <w:footerReference w:type="default" r:id="rId10"/>
      <w:pgSz w:w="11906" w:h="16838"/>
      <w:pgMar w:top="1247" w:right="1134" w:bottom="1134" w:left="1134"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color w:val="595959"/>
        <w:sz w:val="16"/>
      </w:rPr>
      <w:t xml:space="preserve">Internal — Legal &amp; Privacy    </w:t>
    </w:r>
    <w:r>
      <w:rPr>
        <w:color w:val="595959"/>
        <w:sz w:val="16"/>
      </w:rPr>
      <w:t xml:space="preserve">Page </w:t>
    </w:r>
    <w:fldSimple w:instr=" PAGE ">
      <w:r>
        <w:t>1</w:t>
      </w:r>
    </w:fldSimple>
    <w:r>
      <w:rPr>
        <w:color w:val="595959"/>
        <w:sz w:val="16"/>
      </w:rPr>
      <w:t xml:space="preserve"> of </w:t>
    </w:r>
    <w:fldSimple w:instr=" NUMPAGES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BFBF"/>
      </w:pBdr>
      <w:tabs>
        <w:tab w:pos="9411" w:val="right"/>
      </w:tabs>
      <w:spacing w:after="0"/>
    </w:pPr>
    <w:r/>
    <w:r>
      <w:rPr>
        <w:color w:val="595959"/>
        <w:sz w:val="16"/>
      </w:rPr>
      <w:t>Bramber Software Limited — Data Protection</w:t>
    </w:r>
    <w:r>
      <w:rPr>
        <w:color w:val="595959"/>
        <w:sz w:val="16"/>
      </w:rPr>
      <w:tab/>
      <w:t>Processor Playbook v5.0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jc w:val="both"/>
    </w:pPr>
    <w:rPr>
      <w:rFonts w:ascii="Calibri" w:hAnsi="Calibri" w:cs="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40" w:lineRule="auto"/>
      <w:outlineLvl w:val="0"/>
    </w:pPr>
    <w:rPr>
      <w:rFonts w:asciiTheme="majorHAnsi" w:eastAsiaTheme="majorEastAsia" w:hAnsiTheme="majorHAnsi" w:cstheme="majorBidi" w:ascii="Calibri" w:hAnsi="Calibri" w:cs="Calibri" w:eastAsia="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cs="Calibri" w:eastAsia="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cs="Calibri" w:eastAsia="Calibri"/>
      <w:b/>
      <w:bCs/>
      <w:color w:val="2E5C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Playbook — Processor Engagements</dc:title>
  <dc:subject>Data protection playbook</dc:subject>
  <dc:creator>Elena Marchetti</dc:creator>
  <cp:keywords/>
  <dc:description/>
  <cp:lastModifiedBy>Elena Marchetti</cp:lastModifiedBy>
  <cp:revision>1</cp:revision>
  <dcterms:created xsi:type="dcterms:W3CDTF">2026-01-16T09:00:00Z</dcterms:created>
  <dcterms:modified xsi:type="dcterms:W3CDTF">2026-01-16T09:00:00Z</dcterms:modified>
  <cp:category>Commercial legal</cp:category>
</cp:coreProperties>
</file>