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Rivell Negotiation Playbook</w:t>
      </w:r>
    </w:p>
    <w:p>
      <w:pPr>
        <w:pStyle w:val="Heading1"/>
      </w:pPr>
      <w:r>
        <w:t xml:space="preserve">Scope of application</w:t>
      </w:r>
    </w:p>
    <w:p>
      <w:pPr>
        <w:pStyle w:val="Normal"/>
      </w:pPr>
      <w:r>
        <w:t xml:space="preserve">Master Services Agreements — customer paper and supplier paper, United States. Effective for agreements signed on or after 2026-01-01.</w:t>
      </w:r>
    </w:p>
    <w:tbl>
      <w:tblGrid>
        <w:gridCol/>
        <w:gridCol/>
        <w:gridCol/>
        <w:gridCol/>
      </w:tblGrid>
      <w:tr>
        <w:tc>
          <w:p>
            <w:r>
              <w:t>Position</w:t>
            </w:r>
          </w:p>
        </w:tc>
        <w:tc>
          <w:p>
            <w:r>
              <w:t>Trigger</w:t>
            </w:r>
          </w:p>
        </w:tc>
        <w:tc>
          <w:p>
            <w:r>
              <w:t>Guidance</w:t>
            </w:r>
          </w:p>
        </w:tc>
        <w:tc>
          <w:p>
            <w:r>
              <w:t>Approval</w:t>
            </w:r>
          </w:p>
        </w:tc>
      </w:tr>
      <w:tr>
        <w:tc>
          <w:p>
            <w:r>
              <w:t>Preferred</w:t>
            </w:r>
          </w:p>
        </w:tc>
        <w:tc>
          <w:p>
            <w:r>
              <w:t>Standard cap request</w:t>
            </w:r>
          </w:p>
        </w:tc>
        <w:tc>
          <w:p>
            <w:r>
              <w:t>Cap supplier liability at fees paid in the preceding 12 months.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Fallback</w:t>
            </w:r>
          </w:p>
        </w:tc>
        <w:tc>
          <w:p>
            <w:r>
              <w:t>Counterparty insists on higher cap</w:t>
            </w:r>
          </w:p>
        </w:tc>
        <w:tc>
          <w:p>
            <w:r>
              <w:t>Accept liability cap at 2x annual fees.</w:t>
            </w:r>
          </w:p>
        </w:tc>
        <w:tc>
          <w:p>
            <w:r>
              <w:t>General counsel approval</w:t>
            </w:r>
          </w:p>
        </w:tc>
      </w:tr>
      <w:tr>
        <w:tc>
          <w:p>
            <w:r>
              <w:t>Prohibited</w:t>
            </w:r>
          </w:p>
        </w:tc>
        <w:tc>
          <w:p>
            <w:r>
              <w:t>Uncapped liability demand</w:t>
            </w:r>
          </w:p>
        </w:tc>
        <w:tc>
          <w:p>
            <w:r>
              <w:t>Never accept an uncapped liability position.</w:t>
            </w:r>
          </w:p>
        </w:tc>
        <w:tc>
          <w:p>
            <w:r>
              <w:t>Not acceptable at any level</w:t>
            </w:r>
          </w:p>
        </w:tc>
      </w:tr>
      <w:tr>
        <w:tc>
          <w:p>
            <w:r>
              <w:t>Escalation</w:t>
            </w:r>
          </w:p>
        </w:tc>
        <w:tc>
          <w:p>
            <w:r>
              <w:t>Carve-out requests</w:t>
            </w:r>
          </w:p>
        </w:tc>
        <w:tc>
          <w:p>
            <w:r>
              <w:t>Carve-outs from the liability cap beyond data breaches require escalation.</w:t>
            </w:r>
          </w:p>
        </w:tc>
        <w:tc>
          <w:p>
            <w:r>
              <w:t>General counsel approval</w:t>
            </w:r>
          </w:p>
        </w:tc>
      </w:tr>
    </w:tbl>
    <w:p>
      <w:pPr>
        <w:pStyle w:val="Heading1"/>
      </w:pPr>
      <w:r>
        <w:t xml:space="preserve">Confidentiality</w:t>
      </w:r>
    </w:p>
    <w:p>
      <w:pPr>
        <w:pStyle w:val="Normal"/>
      </w:pPr>
      <w:r>
        <w:t xml:space="preserve">Preferred: confidentiality obligations survive termination of the agreement for three years and cover all business information exchanged between the parties.</w:t>
      </w:r>
    </w:p>
    <w:p>
      <w:pPr>
        <w:pStyle w:val="Normal"/>
      </w:pPr>
      <w:r>
        <w:t xml:space="preserve">Prohibited: confidentiality limited to documents marked confidential only. Escalate to general counsel before agreeing.</w:t>
      </w:r>
    </w:p>
    <w:p>
      <w:pPr>
        <w:pStyle w:val="Heading1"/>
      </w:pPr>
      <w:r>
        <w:t xml:space="preserve">General guidance</w:t>
      </w:r>
    </w:p>
    <w:p>
      <w:pPr>
        <w:pStyle w:val="Normal"/>
      </w:pPr>
      <w:r>
        <w:t xml:space="preserve">The supplier requires confidentiality of shared business information while limiting exposure, and governing law questions are handled case by case.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