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Master Services Agreement</w:t>
      </w:r>
    </w:p>
    <w:p>
      <w:pPr>
        <w:pStyle w:val="Heading1"/>
      </w:pPr>
      <w:r>
        <w:t xml:space="preserve">1. Limitation of Liability</w:t>
      </w:r>
    </w:p>
    <w:p>
      <w:r>
        <w:t xml:space="preserve">Supplier liability is limited as described at </w:t>
      </w:r>
      <w:hyperlink r:id="rIdLink">
        <w:r>
          <w:t>the liability page</w:t>
        </w:r>
      </w:hyperlink>
      <w:r>
        <w:t xml:space="preserve">.</w:t>
      </w:r>
    </w:p>
    <w:p>
      <w:pPr>
        <w:pStyle w:val="Heading1"/>
      </w:pPr>
      <w:r>
        <w:t xml:space="preserve">2. Governing Law</w:t>
      </w:r>
    </w:p>
    <w:p>
      <w:r>
        <w:t xml:space="preserve">This Agreement is governed by the laws of Delaware.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Relationship Id="rIdLink" Type="http://schemas.openxmlformats.org/officeDocument/2006/relationships/hyperlink" Target="https://example.com/liability" TargetMode="External"/>
</Relationships>
</file>