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- Acme Review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Supplier total aggregate liability arising out of or related to this Agreement shall not exceed 3 times the fees paid in the preceding 12 months.</w:t>
      </w:r>
    </w:p>
    <w:p>
      <w:r>
        <w:t xml:space="preserve">A party shall not be liable for indirect or consequential loss.</w:t>
      </w:r>
    </w:p>
    <w:p>
      <w:r>
        <w:t xml:space="preserve">This limitation applies to all obligations under this Agreement, including indemnification obligations.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claims without regard to any limitation of liability in this Agreement.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Survival</w:t>
      </w:r>
    </w:p>
    <w:p>
      <w:r>
        <w:t xml:space="preserve">Limitation of Liability, Confidentiality and Governing Law survive termination.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