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Mutual Non-Disclosure Agreement</w:t>
      </w:r>
    </w:p>
    <w:p>
      <w:pPr>
        <w:pStyle w:val="Normal"/>
      </w:pPr>
      <w:r>
        <w:t xml:space="preserve">This Mutual Non-Disclosure Agreement (this "Agreement") is entered into as of March 15, 2026 (the "Effective Date") by and between Helios Systems Inc., a Delaware corporation ("Disclosing Party"), and Vertex Analytics Ltd., a United Kingdom private limited company ("Receiving Party"). Helios Systems Inc. and Vertex Analytics Ltd. may each be referred to as a "Party" and together as the "Parties".</w:t>
      </w:r>
    </w:p>
    <w:p>
      <w:pPr>
        <w:pStyle w:val="Heading1"/>
      </w:pPr>
      <w:r>
        <w:t xml:space="preserve">1. Definitions</w:t>
      </w:r>
    </w:p>
    <w:p>
      <w:pPr>
        <w:pStyle w:val="Normal"/>
      </w:pPr>
      <w:r>
        <w:t xml:space="preserve">1.1 "Confidential Information" means any non-public business, technical, or commercial information disclosed by the Disclosing Party to the Receiving Party, whether or not marked as confidential.</w:t>
      </w:r>
    </w:p>
    <w:p>
      <w:pPr>
        <w:pStyle w:val="Normal"/>
      </w:pPr>
      <w:r>
        <w:t xml:space="preserve">1.2 "Representatives" means a Party's employees, officers, directors, and professional advisors.</w:t>
      </w:r>
    </w:p>
    <w:p>
      <w:pPr>
        <w:pStyle w:val="Heading1"/>
      </w:pPr>
      <w:r>
        <w:t xml:space="preserve">2. Confidentiality</w:t>
      </w:r>
    </w:p>
    <w:p>
      <w:pPr>
        <w:pStyle w:val="Normal"/>
      </w:pPr>
      <w:r>
        <w:t xml:space="preserve">2.1 The Receiving Party shall protect the Confidential Information of the Disclosing Party with at least the same degree of care it uses for its own confidential information, and in no event less than reasonable care.</w:t>
      </w:r>
    </w:p>
    <w:p>
      <w:pPr>
        <w:pStyle w:val="Normal"/>
      </w:pPr>
      <w:r>
        <w:t xml:space="preserve">2.2 The Receiving Party may disclose Confidential Information only to its Representatives who need to know it for the Purpose, and shall remain responsible for their compliance with this Section 2.</w:t>
      </w:r>
    </w:p>
    <w:p>
      <w:pPr>
        <w:pStyle w:val="Heading1"/>
      </w:pPr>
      <w:r>
        <w:t xml:space="preserve">3. Exclusions</w:t>
      </w:r>
    </w:p>
    <w:p>
      <w:pPr>
        <w:pStyle w:val="Normal"/>
      </w:pPr>
      <w:r>
        <w:t xml:space="preserve">3.1 Confidential Information does not include information that is or becomes public through no fault of the Receiving Party, was lawfully known to the Receiving Party before disclosure, or is independently developed without use of the Confidential Information.</w:t>
      </w:r>
    </w:p>
    <w:p>
      <w:pPr>
        <w:pStyle w:val="Heading1"/>
      </w:pPr>
      <w:r>
        <w:t xml:space="preserve">4. Permitted Disclosure</w:t>
      </w:r>
    </w:p>
    <w:p>
      <w:pPr>
        <w:pStyle w:val="Normal"/>
      </w:pPr>
      <w:r>
        <w:t xml:space="preserve">4.1 Notwithstanding Section 2, the Receiving Party may disclose Confidential Information to the extent required by law or regulation, provided that the Receiving Party gives the Disclosing Party prompt written notice where lawful.</w:t>
      </w:r>
    </w:p>
    <w:p>
      <w:pPr>
        <w:pStyle w:val="Heading1"/>
      </w:pPr>
      <w:r>
        <w:t xml:space="preserve">5. Term and Survival</w:t>
      </w:r>
    </w:p>
    <w:p>
      <w:pPr>
        <w:pStyle w:val="Normal"/>
      </w:pPr>
      <w:r>
        <w:t xml:space="preserve">5.1 This Agreement begins on the Effective Date and continues for three (3) years unless terminated earlier by either Party on thirty (30) days' prior written notice.</w:t>
      </w:r>
    </w:p>
    <w:p>
      <w:pPr>
        <w:pStyle w:val="Normal"/>
      </w:pPr>
      <w:r>
        <w:t xml:space="preserve">5.2 The Receiving Party's obligations under Section 2 survive termination of this Agreement for three (3) years from the date of disclosure.</w:t>
      </w:r>
    </w:p>
    <w:p>
      <w:pPr>
        <w:pStyle w:val="Heading1"/>
      </w:pPr>
      <w:r>
        <w:t xml:space="preserve">6. Return or Destruction</w:t>
      </w:r>
    </w:p>
    <w:p>
      <w:pPr>
        <w:pStyle w:val="Normal"/>
      </w:pPr>
      <w:r>
        <w:t xml:space="preserve">6.1 On termination or on the Disclosing Party's written request, the Receiving Party shall promptly return or destroy all Confidential Information and certify the destruction in writing.</w:t>
      </w:r>
    </w:p>
    <w:p>
      <w:pPr>
        <w:pStyle w:val="Heading1"/>
      </w:pPr>
      <w:r>
        <w:t xml:space="preserve">7. Governing Law</w:t>
      </w:r>
    </w:p>
    <w:p>
      <w:pPr>
        <w:pStyle w:val="Normal"/>
      </w:pPr>
      <w:r>
        <w:t xml:space="preserve">7.1 This Agreement is governed by the laws of the State of Delaware, United States, without regard to conflict-of-law rules.</w:t>
      </w:r>
    </w:p>
    <w:p>
      <w:pPr>
        <w:pStyle w:val="Heading1"/>
      </w:pPr>
      <w:r>
        <w:t xml:space="preserve">8. Miscellaneous</w:t>
      </w:r>
    </w:p>
    <w:p>
      <w:pPr>
        <w:pStyle w:val="Normal"/>
      </w:pPr>
      <w:r>
        <w:t xml:space="preserve">8.1 This Agreement is the entire agreement between the Parties concerning its subject matter and supersedes all prior discussions. Any amendment must be in writing and signed by both Parties. Neither Party may assign this Agreement without the other Party's prior written consent.</w:t>
      </w:r>
    </w:p>
    <w:p>
      <w:pPr>
        <w:pStyle w:val="Normal"/>
      </w:pPr>
      <w:r>
        <w:t xml:space="preserve">8.2 Any dispute arising out of this Agreement shall be resolved exclusively in the state or federal courts located in Delaware as set forth in Section 7.</w:t>
      </w:r>
    </w:p>
    <w:p>
      <w:pPr>
        <w:pStyle w:val="Normal"/>
      </w:pPr>
      <w:r>
        <w:t xml:space="preserve">IN WITNESS WHEREOF, the Parties have executed this Agreement as of the Effective Date.</w:t>
      </w:r>
    </w:p>
    <w:p>
      <w:pPr>
        <w:pStyle w:val="Heading2"/>
      </w:pPr>
      <w:r>
        <w:t xml:space="preserve">Helios Systems Inc.</w:t>
      </w:r>
    </w:p>
    <w:p>
      <w:pPr>
        <w:pStyle w:val="Normal"/>
      </w:pPr>
      <w:r>
        <w:t xml:space="preserve">By: Maya Chen, Chief Executive Officer</w:t>
      </w:r>
    </w:p>
    <w:p>
      <w:pPr>
        <w:pStyle w:val="Heading2"/>
      </w:pPr>
      <w:r>
        <w:t xml:space="preserve">Vertex Analytics Ltd.</w:t>
      </w:r>
    </w:p>
    <w:p>
      <w:pPr>
        <w:pStyle w:val="Normal"/>
      </w:pPr>
      <w:r>
        <w:t xml:space="preserve">By: Oliver Grant, Managing Director</w:t>
      </w:r>
    </w:p>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