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Minimal Sparse Structure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Sparse Section</w:t>
      </w:r>
    </w:p>
    <w:tbl>
      <w:tblGrid>
        <w:gridCol/>
        <w:gridCol/>
      </w:tblGrid>
      <w:tr>
        <w:tc>
          <w:p>
            <w:r>
              <w:t>Key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One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