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Calibri" w:hAnsi="Calibri" w:cs="Calibri"/>
          <w:b/>
          <w:i w:val="0"/>
          <w:caps/>
          <w:sz w:val="28"/>
          <w:u w:val="none"/>
        </w:rPr>
        <w:t>Statement of Work 02</w:t>
      </w:r>
    </w:p>
    <w:p>
      <w:pPr>
        <w:spacing w:before="0" w:after="240" w:line="276" w:lineRule="auto"/>
        <w:jc w:val="center"/>
      </w:pPr>
      <w:r>
        <w:rPr>
          <w:rFonts w:ascii="Times New Roman" w:hAnsi="Times New Roman" w:cs="Times New Roman"/>
          <w:b w:val="0"/>
          <w:i/>
          <w:sz w:val="20"/>
          <w:u w:val="none"/>
        </w:rPr>
        <w:t>Implementation, data migration and hypercare — issued under the Master Services Agreement dated 12 January 2026</w:t>
      </w:r>
    </w:p>
    <w:p>
      <w:pPr>
        <w:spacing w:before="0" w:after="120" w:line="276" w:lineRule="auto"/>
      </w:pPr>
      <w:r>
        <w:rPr>
          <w:rFonts w:ascii="Times New Roman" w:hAnsi="Times New Roman" w:cs="Times New Roman"/>
          <w:b w:val="0"/>
          <w:i w:val="0"/>
          <w:u w:val="none"/>
        </w:rPr>
        <w:t>This Statement of Work is entered into on 5 October 2026 between Cloudberry Software Limited of 3 Grand Canal Quay, Dublin 2, Ireland (“Cloudberry”) and Brackenhill Retail Limited of 12 Cathedral Yard, Leeds LS1 5AP (“Brackenhill”) and is made under and in accordance with the Master Services Agreement between the same parties dated 12 January 2026 (the “MSA”).</w:t>
      </w:r>
    </w:p>
    <w:p>
      <w:pPr>
        <w:spacing w:before="0" w:after="120" w:line="276" w:lineRule="auto"/>
      </w:pPr>
      <w:r>
        <w:rPr>
          <w:rFonts w:ascii="Times New Roman" w:hAnsi="Times New Roman" w:cs="Times New Roman"/>
          <w:b w:val="0"/>
          <w:i w:val="0"/>
          <w:u w:val="none"/>
        </w:rPr>
        <w:t>Brackenhill wishes to procure the implementation, data migration and hypercare services described below. This Statement of Work is to be read with the MSA. Capitalised terms not defined here have the meanings given in the MSA.</w:t>
      </w:r>
    </w:p>
    <w:tbl>
      <w:tblPr>
        <w:tblStyle w:val="TableGrid"/>
        <w:tblW w:type="auto" w:w="0"/>
        <w:tblLook w:firstColumn="1" w:firstRow="1" w:lastColumn="0" w:lastRow="0" w:noHBand="0" w:noVBand="1" w:val="04A0"/>
      </w:tblPr>
      <w:tblGrid>
        <w:gridCol w:w="4536"/>
        <w:gridCol w:w="4536"/>
      </w:tblGrid>
      <w:tr>
        <w:tc>
          <w:tcPr>
            <w:tcW w:type="dxa" w:w="2448"/>
          </w:tcPr>
          <w:p>
            <w:pPr>
              <w:spacing w:after="40"/>
            </w:pPr>
            <w:r/>
            <w:r>
              <w:rPr>
                <w:rFonts w:ascii="Times New Roman" w:hAnsi="Times New Roman" w:cs="Times New Roman"/>
                <w:b/>
                <w:i w:val="0"/>
                <w:sz w:val="19"/>
                <w:u w:val="none"/>
              </w:rPr>
              <w:t>Field</w:t>
            </w:r>
          </w:p>
        </w:tc>
        <w:tc>
          <w:tcPr>
            <w:tcW w:type="dxa" w:w="6912"/>
          </w:tcPr>
          <w:p>
            <w:pPr>
              <w:spacing w:after="40"/>
            </w:pPr>
            <w:r/>
            <w:r>
              <w:rPr>
                <w:rFonts w:ascii="Times New Roman" w:hAnsi="Times New Roman" w:cs="Times New Roman"/>
                <w:b/>
                <w:i w:val="0"/>
                <w:sz w:val="19"/>
                <w:u w:val="none"/>
              </w:rPr>
              <w:t>Detail</w:t>
            </w:r>
          </w:p>
        </w:tc>
      </w:tr>
      <w:tr>
        <w:tc>
          <w:tcPr>
            <w:tcW w:type="dxa" w:w="2448"/>
          </w:tcPr>
          <w:p>
            <w:pPr>
              <w:spacing w:after="40"/>
            </w:pPr>
            <w:r/>
            <w:r>
              <w:rPr>
                <w:rFonts w:ascii="Times New Roman" w:hAnsi="Times New Roman" w:cs="Times New Roman"/>
                <w:b w:val="0"/>
                <w:i w:val="0"/>
                <w:sz w:val="19"/>
                <w:u w:val="none"/>
              </w:rPr>
              <w:t>Statement of Work reference</w:t>
            </w:r>
          </w:p>
        </w:tc>
        <w:tc>
          <w:tcPr>
            <w:tcW w:type="dxa" w:w="6912"/>
          </w:tcPr>
          <w:p>
            <w:pPr>
              <w:spacing w:after="40"/>
            </w:pPr>
            <w:r/>
            <w:r>
              <w:rPr>
                <w:rFonts w:ascii="Times New Roman" w:hAnsi="Times New Roman" w:cs="Times New Roman"/>
                <w:b w:val="0"/>
                <w:i w:val="0"/>
                <w:sz w:val="19"/>
                <w:u w:val="none"/>
              </w:rPr>
              <w:t>SOW 02</w:t>
            </w:r>
          </w:p>
        </w:tc>
      </w:tr>
      <w:tr>
        <w:tc>
          <w:tcPr>
            <w:tcW w:type="dxa" w:w="2448"/>
          </w:tcPr>
          <w:p>
            <w:pPr>
              <w:spacing w:after="40"/>
            </w:pPr>
            <w:r/>
            <w:r>
              <w:rPr>
                <w:rFonts w:ascii="Times New Roman" w:hAnsi="Times New Roman" w:cs="Times New Roman"/>
                <w:b w:val="0"/>
                <w:i w:val="0"/>
                <w:sz w:val="19"/>
                <w:u w:val="none"/>
              </w:rPr>
              <w:t>Master agreement</w:t>
            </w:r>
          </w:p>
        </w:tc>
        <w:tc>
          <w:tcPr>
            <w:tcW w:type="dxa" w:w="6912"/>
          </w:tcPr>
          <w:p>
            <w:pPr>
              <w:spacing w:after="40"/>
            </w:pPr>
            <w:r/>
            <w:r>
              <w:rPr>
                <w:rFonts w:ascii="Times New Roman" w:hAnsi="Times New Roman" w:cs="Times New Roman"/>
                <w:b w:val="0"/>
                <w:i w:val="0"/>
                <w:sz w:val="19"/>
                <w:u w:val="none"/>
              </w:rPr>
              <w:t>MSA dated 12 January 2026</w:t>
            </w:r>
          </w:p>
        </w:tc>
      </w:tr>
      <w:tr>
        <w:tc>
          <w:tcPr>
            <w:tcW w:type="dxa" w:w="2448"/>
          </w:tcPr>
          <w:p>
            <w:pPr>
              <w:spacing w:after="40"/>
            </w:pPr>
            <w:r/>
            <w:r>
              <w:rPr>
                <w:rFonts w:ascii="Times New Roman" w:hAnsi="Times New Roman" w:cs="Times New Roman"/>
                <w:b w:val="0"/>
                <w:i w:val="0"/>
                <w:sz w:val="19"/>
                <w:u w:val="none"/>
              </w:rPr>
              <w:t>Project</w:t>
            </w:r>
          </w:p>
        </w:tc>
        <w:tc>
          <w:tcPr>
            <w:tcW w:type="dxa" w:w="6912"/>
          </w:tcPr>
          <w:p>
            <w:pPr>
              <w:spacing w:after="40"/>
            </w:pPr>
            <w:r/>
            <w:r>
              <w:rPr>
                <w:rFonts w:ascii="Times New Roman" w:hAnsi="Times New Roman" w:cs="Times New Roman"/>
                <w:b w:val="0"/>
                <w:i w:val="0"/>
                <w:sz w:val="19"/>
                <w:u w:val="none"/>
              </w:rPr>
              <w:t>Retail Analytics Platform rollout — 47 stores and online trading</w:t>
            </w:r>
          </w:p>
        </w:tc>
      </w:tr>
      <w:tr>
        <w:tc>
          <w:tcPr>
            <w:tcW w:type="dxa" w:w="2448"/>
          </w:tcPr>
          <w:p>
            <w:pPr>
              <w:spacing w:after="40"/>
            </w:pPr>
            <w:r/>
            <w:r>
              <w:rPr>
                <w:rFonts w:ascii="Times New Roman" w:hAnsi="Times New Roman" w:cs="Times New Roman"/>
                <w:b w:val="0"/>
                <w:i w:val="0"/>
                <w:sz w:val="19"/>
                <w:u w:val="none"/>
              </w:rPr>
              <w:t>Commencement date</w:t>
            </w:r>
          </w:p>
        </w:tc>
        <w:tc>
          <w:tcPr>
            <w:tcW w:type="dxa" w:w="6912"/>
          </w:tcPr>
          <w:p>
            <w:pPr>
              <w:spacing w:after="40"/>
            </w:pPr>
            <w:r/>
            <w:r>
              <w:rPr>
                <w:rFonts w:ascii="Times New Roman" w:hAnsi="Times New Roman" w:cs="Times New Roman"/>
                <w:b w:val="0"/>
                <w:i w:val="0"/>
                <w:sz w:val="19"/>
                <w:u w:val="none"/>
              </w:rPr>
              <w:t>5 October 2026</w:t>
            </w:r>
          </w:p>
        </w:tc>
      </w:tr>
      <w:tr>
        <w:tc>
          <w:tcPr>
            <w:tcW w:type="dxa" w:w="2448"/>
          </w:tcPr>
          <w:p>
            <w:pPr>
              <w:spacing w:after="40"/>
            </w:pPr>
            <w:r/>
            <w:r>
              <w:rPr>
                <w:rFonts w:ascii="Times New Roman" w:hAnsi="Times New Roman" w:cs="Times New Roman"/>
                <w:b w:val="0"/>
                <w:i w:val="0"/>
                <w:sz w:val="19"/>
                <w:u w:val="none"/>
              </w:rPr>
              <w:t>Planned completion</w:t>
            </w:r>
          </w:p>
        </w:tc>
        <w:tc>
          <w:tcPr>
            <w:tcW w:type="dxa" w:w="6912"/>
          </w:tcPr>
          <w:p>
            <w:pPr>
              <w:spacing w:after="40"/>
            </w:pPr>
            <w:r/>
            <w:r>
              <w:rPr>
                <w:rFonts w:ascii="Times New Roman" w:hAnsi="Times New Roman" w:cs="Times New Roman"/>
                <w:b w:val="0"/>
                <w:i w:val="0"/>
                <w:sz w:val="19"/>
                <w:u w:val="none"/>
              </w:rPr>
              <w:t>28 February 2027</w:t>
            </w:r>
          </w:p>
        </w:tc>
      </w:tr>
      <w:tr>
        <w:tc>
          <w:tcPr>
            <w:tcW w:type="dxa" w:w="2448"/>
          </w:tcPr>
          <w:p>
            <w:pPr>
              <w:spacing w:after="40"/>
            </w:pPr>
            <w:r/>
            <w:r>
              <w:rPr>
                <w:rFonts w:ascii="Times New Roman" w:hAnsi="Times New Roman" w:cs="Times New Roman"/>
                <w:b w:val="0"/>
                <w:i w:val="0"/>
                <w:sz w:val="19"/>
                <w:u w:val="none"/>
              </w:rPr>
              <w:t>Charges</w:t>
            </w:r>
          </w:p>
        </w:tc>
        <w:tc>
          <w:tcPr>
            <w:tcW w:type="dxa" w:w="6912"/>
          </w:tcPr>
          <w:p>
            <w:pPr>
              <w:spacing w:after="40"/>
            </w:pPr>
            <w:r/>
            <w:r>
              <w:rPr>
                <w:rFonts w:ascii="Times New Roman" w:hAnsi="Times New Roman" w:cs="Times New Roman"/>
                <w:b w:val="0"/>
                <w:i w:val="0"/>
                <w:sz w:val="19"/>
                <w:u w:val="none"/>
              </w:rPr>
              <w:t>As set out in Part 4 of this Statement of Work</w:t>
            </w:r>
          </w:p>
        </w:tc>
      </w:tr>
      <w:tr>
        <w:tc>
          <w:tcPr>
            <w:tcW w:type="dxa" w:w="2448"/>
          </w:tcPr>
          <w:p>
            <w:pPr>
              <w:spacing w:after="40"/>
            </w:pPr>
            <w:r/>
            <w:r>
              <w:rPr>
                <w:rFonts w:ascii="Times New Roman" w:hAnsi="Times New Roman" w:cs="Times New Roman"/>
                <w:b w:val="0"/>
                <w:i w:val="0"/>
                <w:sz w:val="19"/>
                <w:u w:val="none"/>
              </w:rPr>
              <w:t>Brackenhill project sponsor</w:t>
            </w:r>
          </w:p>
        </w:tc>
        <w:tc>
          <w:tcPr>
            <w:tcW w:type="dxa" w:w="6912"/>
          </w:tcPr>
          <w:p>
            <w:pPr>
              <w:spacing w:after="40"/>
            </w:pPr>
            <w:r/>
            <w:r>
              <w:rPr>
                <w:rFonts w:ascii="Times New Roman" w:hAnsi="Times New Roman" w:cs="Times New Roman"/>
                <w:b w:val="0"/>
                <w:i w:val="0"/>
                <w:sz w:val="19"/>
                <w:u w:val="none"/>
              </w:rPr>
              <w:t>Chief Operating Officer</w:t>
            </w:r>
          </w:p>
        </w:tc>
      </w:tr>
      <w:tr>
        <w:tc>
          <w:tcPr>
            <w:tcW w:type="dxa" w:w="2448"/>
          </w:tcPr>
          <w:p>
            <w:pPr>
              <w:spacing w:after="40"/>
            </w:pPr>
            <w:r/>
            <w:r>
              <w:rPr>
                <w:rFonts w:ascii="Times New Roman" w:hAnsi="Times New Roman" w:cs="Times New Roman"/>
                <w:b w:val="0"/>
                <w:i w:val="0"/>
                <w:sz w:val="19"/>
                <w:u w:val="none"/>
              </w:rPr>
              <w:t>Cloudberry project sponsor</w:t>
            </w:r>
          </w:p>
        </w:tc>
        <w:tc>
          <w:tcPr>
            <w:tcW w:type="dxa" w:w="6912"/>
          </w:tcPr>
          <w:p>
            <w:pPr>
              <w:spacing w:after="40"/>
            </w:pPr>
            <w:r/>
            <w:r>
              <w:rPr>
                <w:rFonts w:ascii="Times New Roman" w:hAnsi="Times New Roman" w:cs="Times New Roman"/>
                <w:b w:val="0"/>
                <w:i w:val="0"/>
                <w:sz w:val="19"/>
                <w:u w:val="none"/>
              </w:rPr>
              <w:t>Director of Delivery, EMEA</w:t>
            </w:r>
          </w:p>
        </w:tc>
      </w:tr>
    </w:tbl>
    <w:p>
      <w:pPr/>
    </w:p>
    <w:p>
      <w:pPr>
        <w:spacing w:before="200" w:after="80" w:line="276" w:lineRule="auto"/>
      </w:pPr>
      <w:r>
        <w:rPr>
          <w:rFonts w:ascii="Calibri" w:hAnsi="Calibri" w:cs="Calibri"/>
          <w:b/>
          <w:i w:val="0"/>
          <w:sz w:val="24"/>
          <w:u w:val="none"/>
        </w:rPr>
        <w:t>Scope of Services</w:t>
      </w:r>
    </w:p>
    <w:p>
      <w:pPr>
        <w:spacing w:before="0" w:after="120" w:line="276" w:lineRule="auto"/>
      </w:pPr>
      <w:r>
        <w:rPr>
          <w:rFonts w:ascii="Times New Roman" w:hAnsi="Times New Roman" w:cs="Times New Roman"/>
          <w:b w:val="0"/>
          <w:i w:val="0"/>
          <w:u w:val="none"/>
        </w:rPr>
        <w:t>Cloudberry shall perform the services described in Part 1 and shall deliver the Deliverables described in Part 3 (the “Deliverables”). The following are excluded from scope and will be treated as chargeable variations if required:</w:t>
      </w:r>
    </w:p>
    <w:p>
      <w:pPr>
        <w:spacing w:before="0" w:after="120" w:line="276" w:lineRule="auto"/>
        <w:ind w:left="432"/>
      </w:pPr>
      <w:r>
        <w:rPr>
          <w:rFonts w:ascii="Times New Roman" w:hAnsi="Times New Roman" w:cs="Times New Roman"/>
          <w:b w:val="0"/>
          <w:i w:val="0"/>
          <w:u w:val="none"/>
        </w:rPr>
        <w:t>•  Network infrastructure and firewall changes at Brackenhill sites or in Brackenhill's data centre.</w:t>
      </w:r>
    </w:p>
    <w:p>
      <w:pPr>
        <w:spacing w:before="0" w:after="120" w:line="276" w:lineRule="auto"/>
        <w:ind w:left="432"/>
      </w:pPr>
      <w:r>
        <w:rPr>
          <w:rFonts w:ascii="Times New Roman" w:hAnsi="Times New Roman" w:cs="Times New Roman"/>
          <w:b w:val="0"/>
          <w:i w:val="0"/>
          <w:u w:val="none"/>
        </w:rPr>
        <w:t>•  Hardware, including scanners, handhelds and any device used to capture store data.</w:t>
      </w:r>
    </w:p>
    <w:p>
      <w:pPr>
        <w:spacing w:before="0" w:after="120" w:line="276" w:lineRule="auto"/>
        <w:ind w:left="432"/>
      </w:pPr>
      <w:r>
        <w:rPr>
          <w:rFonts w:ascii="Times New Roman" w:hAnsi="Times New Roman" w:cs="Times New Roman"/>
          <w:b w:val="0"/>
          <w:i w:val="0"/>
          <w:u w:val="none"/>
        </w:rPr>
        <w:t>•  Data cleansing or remediation of source data beyond the transformation rules agreed in Part 5.</w:t>
      </w:r>
    </w:p>
    <w:p>
      <w:pPr>
        <w:spacing w:before="0" w:after="120" w:line="276" w:lineRule="auto"/>
        <w:ind w:left="432"/>
      </w:pPr>
      <w:r>
        <w:rPr>
          <w:rFonts w:ascii="Times New Roman" w:hAnsi="Times New Roman" w:cs="Times New Roman"/>
          <w:b w:val="0"/>
          <w:i w:val="0"/>
          <w:u w:val="none"/>
        </w:rPr>
        <w:t>•  Training delivery to Brackenhill store staff in the United Kingdom and Ireland.</w:t>
      </w:r>
    </w:p>
    <w:p>
      <w:pPr>
        <w:spacing w:before="0" w:after="120" w:line="276" w:lineRule="auto"/>
        <w:ind w:left="432"/>
      </w:pPr>
      <w:r>
        <w:rPr>
          <w:rFonts w:ascii="Times New Roman" w:hAnsi="Times New Roman" w:cs="Times New Roman"/>
          <w:b w:val="0"/>
          <w:i w:val="0"/>
          <w:u w:val="none"/>
        </w:rPr>
        <w:t>•  Recruitment, payroll and onboarding of Brackenhill super-users.</w:t>
      </w:r>
    </w:p>
    <w:p>
      <w:pPr>
        <w:spacing w:before="200" w:after="80" w:line="276" w:lineRule="auto"/>
      </w:pPr>
      <w:r>
        <w:rPr>
          <w:rFonts w:ascii="Calibri" w:hAnsi="Calibri" w:cs="Calibri"/>
          <w:b/>
          <w:i w:val="0"/>
          <w:sz w:val="24"/>
          <w:u w:val="none"/>
        </w:rPr>
        <w:t>Definitions</w:t>
      </w:r>
    </w:p>
    <w:tbl>
      <w:tblPr>
        <w:tblStyle w:val="TableGrid"/>
        <w:tblW w:type="auto" w:w="0"/>
        <w:tblLook w:firstColumn="1" w:firstRow="1" w:lastColumn="0" w:lastRow="0" w:noHBand="0" w:noVBand="1" w:val="04A0"/>
      </w:tblPr>
      <w:tblGrid>
        <w:gridCol w:w="4536"/>
        <w:gridCol w:w="4536"/>
      </w:tblGrid>
      <w:tr>
        <w:tc>
          <w:tcPr>
            <w:tcW w:type="dxa" w:w="2304"/>
          </w:tcPr>
          <w:p>
            <w:pPr>
              <w:spacing w:after="40"/>
            </w:pPr>
            <w:r/>
            <w:r>
              <w:rPr>
                <w:rFonts w:ascii="Times New Roman" w:hAnsi="Times New Roman" w:cs="Times New Roman"/>
                <w:b/>
                <w:i w:val="0"/>
                <w:sz w:val="19"/>
                <w:u w:val="none"/>
              </w:rPr>
              <w:t>Term</w:t>
            </w:r>
          </w:p>
        </w:tc>
        <w:tc>
          <w:tcPr>
            <w:tcW w:type="dxa" w:w="7056"/>
          </w:tcPr>
          <w:p>
            <w:pPr>
              <w:spacing w:after="40"/>
            </w:pPr>
            <w:r/>
            <w:r>
              <w:rPr>
                <w:rFonts w:ascii="Times New Roman" w:hAnsi="Times New Roman" w:cs="Times New Roman"/>
                <w:b/>
                <w:i w:val="0"/>
                <w:sz w:val="19"/>
                <w:u w:val="none"/>
              </w:rPr>
              <w:t>Meaning</w:t>
            </w:r>
          </w:p>
        </w:tc>
      </w:tr>
      <w:tr>
        <w:tc>
          <w:tcPr>
            <w:tcW w:type="dxa" w:w="2304"/>
          </w:tcPr>
          <w:p>
            <w:pPr>
              <w:spacing w:after="40"/>
            </w:pPr>
            <w:r/>
            <w:r>
              <w:rPr>
                <w:rFonts w:ascii="Times New Roman" w:hAnsi="Times New Roman" w:cs="Times New Roman"/>
                <w:b w:val="0"/>
                <w:i w:val="0"/>
                <w:sz w:val="19"/>
                <w:u w:val="none"/>
              </w:rPr>
              <w:t>Acceptance</w:t>
            </w:r>
          </w:p>
        </w:tc>
        <w:tc>
          <w:tcPr>
            <w:tcW w:type="dxa" w:w="7056"/>
          </w:tcPr>
          <w:p>
            <w:pPr>
              <w:spacing w:after="40"/>
            </w:pPr>
            <w:r/>
            <w:r>
              <w:rPr>
                <w:rFonts w:ascii="Times New Roman" w:hAnsi="Times New Roman" w:cs="Times New Roman"/>
                <w:b w:val="0"/>
                <w:i w:val="0"/>
                <w:sz w:val="19"/>
                <w:u w:val="none"/>
              </w:rPr>
              <w:t>Brackenhill's written confirmation that a Deliverable meets the Acceptance Criteria for that Deliverable</w:t>
            </w:r>
          </w:p>
        </w:tc>
      </w:tr>
      <w:tr>
        <w:tc>
          <w:tcPr>
            <w:tcW w:type="dxa" w:w="2304"/>
          </w:tcPr>
          <w:p>
            <w:pPr>
              <w:spacing w:after="40"/>
            </w:pPr>
            <w:r/>
            <w:r>
              <w:rPr>
                <w:rFonts w:ascii="Times New Roman" w:hAnsi="Times New Roman" w:cs="Times New Roman"/>
                <w:b w:val="0"/>
                <w:i w:val="0"/>
                <w:sz w:val="19"/>
                <w:u w:val="none"/>
              </w:rPr>
              <w:t>Production Service</w:t>
            </w:r>
          </w:p>
        </w:tc>
        <w:tc>
          <w:tcPr>
            <w:tcW w:type="dxa" w:w="7056"/>
          </w:tcPr>
          <w:p>
            <w:pPr>
              <w:spacing w:after="40"/>
            </w:pPr>
            <w:r/>
            <w:r>
              <w:rPr>
                <w:rFonts w:ascii="Times New Roman" w:hAnsi="Times New Roman" w:cs="Times New Roman"/>
                <w:b w:val="0"/>
                <w:i w:val="0"/>
                <w:sz w:val="19"/>
                <w:u w:val="none"/>
              </w:rPr>
              <w:t>The production environment of the Cloudberry Retail Analytics platform under the Master Services Agreement</w:t>
            </w:r>
          </w:p>
        </w:tc>
      </w:tr>
      <w:tr>
        <w:tc>
          <w:tcPr>
            <w:tcW w:type="dxa" w:w="2304"/>
          </w:tcPr>
          <w:p>
            <w:pPr>
              <w:spacing w:after="40"/>
            </w:pPr>
            <w:r/>
            <w:r>
              <w:rPr>
                <w:rFonts w:ascii="Times New Roman" w:hAnsi="Times New Roman" w:cs="Times New Roman"/>
                <w:b w:val="0"/>
                <w:i w:val="0"/>
                <w:sz w:val="19"/>
                <w:u w:val="none"/>
              </w:rPr>
              <w:t>Rollout plan</w:t>
            </w:r>
          </w:p>
        </w:tc>
        <w:tc>
          <w:tcPr>
            <w:tcW w:type="dxa" w:w="7056"/>
          </w:tcPr>
          <w:p>
            <w:pPr>
              <w:spacing w:after="40"/>
            </w:pPr>
            <w:r/>
            <w:r>
              <w:rPr>
                <w:rFonts w:ascii="Times New Roman" w:hAnsi="Times New Roman" w:cs="Times New Roman"/>
                <w:b w:val="0"/>
                <w:i w:val="0"/>
                <w:sz w:val="19"/>
                <w:u w:val="none"/>
              </w:rPr>
              <w:t>The store-by-store rollout sequence agreed by the parties before Go-Live</w:t>
            </w:r>
          </w:p>
        </w:tc>
      </w:tr>
      <w:tr>
        <w:tc>
          <w:tcPr>
            <w:tcW w:type="dxa" w:w="2304"/>
          </w:tcPr>
          <w:p>
            <w:pPr>
              <w:spacing w:after="40"/>
            </w:pPr>
            <w:r/>
            <w:r>
              <w:rPr>
                <w:rFonts w:ascii="Times New Roman" w:hAnsi="Times New Roman" w:cs="Times New Roman"/>
                <w:b w:val="0"/>
                <w:i w:val="0"/>
                <w:sz w:val="19"/>
                <w:u w:val="none"/>
              </w:rPr>
              <w:t>Users</w:t>
            </w:r>
          </w:p>
        </w:tc>
        <w:tc>
          <w:tcPr>
            <w:tcW w:type="dxa" w:w="7056"/>
          </w:tcPr>
          <w:p>
            <w:pPr>
              <w:spacing w:after="40"/>
            </w:pPr>
            <w:r/>
            <w:r>
              <w:rPr>
                <w:rFonts w:ascii="Times New Roman" w:hAnsi="Times New Roman" w:cs="Times New Roman"/>
                <w:b w:val="0"/>
                <w:i w:val="0"/>
                <w:sz w:val="19"/>
                <w:u w:val="none"/>
              </w:rPr>
              <w:t>The individuals authorised by Brackenhill to use the Production Service under the Master Services Agreement</w:t>
            </w:r>
          </w:p>
        </w:tc>
      </w:tr>
      <w:tr>
        <w:tc>
          <w:tcPr>
            <w:tcW w:type="dxa" w:w="2304"/>
          </w:tcPr>
          <w:p>
            <w:pPr>
              <w:spacing w:after="40"/>
            </w:pPr>
            <w:r/>
            <w:r>
              <w:rPr>
                <w:rFonts w:ascii="Times New Roman" w:hAnsi="Times New Roman" w:cs="Times New Roman"/>
                <w:b w:val="0"/>
                <w:i w:val="0"/>
                <w:sz w:val="19"/>
                <w:u w:val="none"/>
              </w:rPr>
              <w:t>Acceptance Criteria</w:t>
            </w:r>
          </w:p>
        </w:tc>
        <w:tc>
          <w:tcPr>
            <w:tcW w:type="dxa" w:w="7056"/>
          </w:tcPr>
          <w:p>
            <w:pPr>
              <w:spacing w:after="40"/>
            </w:pPr>
            <w:r/>
            <w:r>
              <w:rPr>
                <w:rFonts w:ascii="Times New Roman" w:hAnsi="Times New Roman" w:cs="Times New Roman"/>
                <w:b w:val="0"/>
                <w:i w:val="0"/>
                <w:sz w:val="19"/>
                <w:u w:val="none"/>
              </w:rPr>
              <w:t>The criteria set out against each Deliverable in Part 3</w:t>
            </w:r>
          </w:p>
        </w:tc>
      </w:tr>
      <w:tr>
        <w:tc>
          <w:tcPr>
            <w:tcW w:type="dxa" w:w="2304"/>
          </w:tcPr>
          <w:p>
            <w:pPr>
              <w:spacing w:after="40"/>
            </w:pPr>
            <w:r/>
            <w:r>
              <w:rPr>
                <w:rFonts w:ascii="Times New Roman" w:hAnsi="Times New Roman" w:cs="Times New Roman"/>
                <w:b w:val="0"/>
                <w:i w:val="0"/>
                <w:sz w:val="19"/>
                <w:u w:val="none"/>
              </w:rPr>
              <w:t>Deliverable</w:t>
            </w:r>
          </w:p>
        </w:tc>
        <w:tc>
          <w:tcPr>
            <w:tcW w:type="dxa" w:w="7056"/>
          </w:tcPr>
          <w:p>
            <w:pPr>
              <w:spacing w:after="40"/>
            </w:pPr>
            <w:r/>
            <w:r>
              <w:rPr>
                <w:rFonts w:ascii="Times New Roman" w:hAnsi="Times New Roman" w:cs="Times New Roman"/>
                <w:b w:val="0"/>
                <w:i w:val="0"/>
                <w:sz w:val="19"/>
                <w:u w:val="none"/>
              </w:rPr>
              <w:t>An output of the services identified in Part 3, which may be a document, configuration, report, piece of software or other artefact</w:t>
            </w:r>
          </w:p>
        </w:tc>
      </w:tr>
      <w:tr>
        <w:tc>
          <w:tcPr>
            <w:tcW w:type="dxa" w:w="2304"/>
          </w:tcPr>
          <w:p>
            <w:pPr>
              <w:spacing w:after="40"/>
            </w:pPr>
            <w:r/>
            <w:r>
              <w:rPr>
                <w:rFonts w:ascii="Times New Roman" w:hAnsi="Times New Roman" w:cs="Times New Roman"/>
                <w:b w:val="0"/>
                <w:i w:val="0"/>
                <w:sz w:val="19"/>
                <w:u w:val="none"/>
              </w:rPr>
              <w:t>Go-Live</w:t>
            </w:r>
          </w:p>
        </w:tc>
        <w:tc>
          <w:tcPr>
            <w:tcW w:type="dxa" w:w="7056"/>
          </w:tcPr>
          <w:p>
            <w:pPr>
              <w:spacing w:after="40"/>
            </w:pPr>
            <w:r/>
            <w:r>
              <w:rPr>
                <w:rFonts w:ascii="Times New Roman" w:hAnsi="Times New Roman" w:cs="Times New Roman"/>
                <w:b w:val="0"/>
                <w:i w:val="0"/>
                <w:sz w:val="19"/>
                <w:u w:val="none"/>
              </w:rPr>
              <w:t>The date on which the Production Service is made available to Brackenhill Users in accordance with the rollout plan</w:t>
            </w:r>
          </w:p>
        </w:tc>
      </w:tr>
      <w:tr>
        <w:tc>
          <w:tcPr>
            <w:tcW w:type="dxa" w:w="2304"/>
          </w:tcPr>
          <w:p>
            <w:pPr>
              <w:spacing w:after="40"/>
            </w:pPr>
            <w:r/>
            <w:r>
              <w:rPr>
                <w:rFonts w:ascii="Times New Roman" w:hAnsi="Times New Roman" w:cs="Times New Roman"/>
                <w:b w:val="0"/>
                <w:i w:val="0"/>
                <w:sz w:val="19"/>
                <w:u w:val="none"/>
              </w:rPr>
              <w:t>Milestone</w:t>
            </w:r>
          </w:p>
        </w:tc>
        <w:tc>
          <w:tcPr>
            <w:tcW w:type="dxa" w:w="7056"/>
          </w:tcPr>
          <w:p>
            <w:pPr>
              <w:spacing w:after="40"/>
            </w:pPr>
            <w:r/>
            <w:r>
              <w:rPr>
                <w:rFonts w:ascii="Times New Roman" w:hAnsi="Times New Roman" w:cs="Times New Roman"/>
                <w:b w:val="0"/>
                <w:i w:val="0"/>
                <w:sz w:val="19"/>
                <w:u w:val="none"/>
              </w:rPr>
              <w:t>A stage of the Project identified in Part 4</w:t>
            </w:r>
          </w:p>
        </w:tc>
      </w:tr>
      <w:tr>
        <w:tc>
          <w:tcPr>
            <w:tcW w:type="dxa" w:w="2304"/>
          </w:tcPr>
          <w:p>
            <w:pPr>
              <w:spacing w:after="40"/>
            </w:pPr>
            <w:r/>
            <w:r>
              <w:rPr>
                <w:rFonts w:ascii="Times New Roman" w:hAnsi="Times New Roman" w:cs="Times New Roman"/>
                <w:b w:val="0"/>
                <w:i w:val="0"/>
                <w:sz w:val="19"/>
                <w:u w:val="none"/>
              </w:rPr>
              <w:t>Milestone Date</w:t>
            </w:r>
          </w:p>
        </w:tc>
        <w:tc>
          <w:tcPr>
            <w:tcW w:type="dxa" w:w="7056"/>
          </w:tcPr>
          <w:p>
            <w:pPr>
              <w:spacing w:after="40"/>
            </w:pPr>
            <w:r/>
            <w:r>
              <w:rPr>
                <w:rFonts w:ascii="Times New Roman" w:hAnsi="Times New Roman" w:cs="Times New Roman"/>
                <w:b w:val="0"/>
                <w:i w:val="0"/>
                <w:sz w:val="19"/>
                <w:u w:val="none"/>
              </w:rPr>
              <w:t>“Milestone Date” means Cloudberry's reasonable estimate of the date on which the Milestone will be completed</w:t>
            </w:r>
          </w:p>
        </w:tc>
      </w:tr>
      <w:tr>
        <w:tc>
          <w:tcPr>
            <w:tcW w:type="dxa" w:w="2304"/>
          </w:tcPr>
          <w:p>
            <w:pPr>
              <w:spacing w:after="40"/>
            </w:pPr>
            <w:r/>
            <w:r>
              <w:rPr>
                <w:rFonts w:ascii="Times New Roman" w:hAnsi="Times New Roman" w:cs="Times New Roman"/>
                <w:b w:val="0"/>
                <w:i w:val="0"/>
                <w:sz w:val="19"/>
                <w:u w:val="none"/>
              </w:rPr>
              <w:t>Project</w:t>
            </w:r>
          </w:p>
        </w:tc>
        <w:tc>
          <w:tcPr>
            <w:tcW w:type="dxa" w:w="7056"/>
          </w:tcPr>
          <w:p>
            <w:pPr>
              <w:spacing w:after="40"/>
            </w:pPr>
            <w:r/>
            <w:r>
              <w:rPr>
                <w:rFonts w:ascii="Times New Roman" w:hAnsi="Times New Roman" w:cs="Times New Roman"/>
                <w:b w:val="0"/>
                <w:i w:val="0"/>
                <w:sz w:val="19"/>
                <w:u w:val="none"/>
              </w:rPr>
              <w:t>The implementation, data migration and hypercare services described in this Statement of Work</w:t>
            </w:r>
          </w:p>
        </w:tc>
      </w:tr>
      <w:tr>
        <w:tc>
          <w:tcPr>
            <w:tcW w:type="dxa" w:w="2304"/>
          </w:tcPr>
          <w:p>
            <w:pPr>
              <w:spacing w:after="40"/>
            </w:pPr>
            <w:r/>
            <w:r>
              <w:rPr>
                <w:rFonts w:ascii="Times New Roman" w:hAnsi="Times New Roman" w:cs="Times New Roman"/>
                <w:b w:val="0"/>
                <w:i w:val="0"/>
                <w:sz w:val="19"/>
                <w:u w:val="none"/>
              </w:rPr>
              <w:t>Re-performance</w:t>
            </w:r>
          </w:p>
        </w:tc>
        <w:tc>
          <w:tcPr>
            <w:tcW w:type="dxa" w:w="7056"/>
          </w:tcPr>
          <w:p>
            <w:pPr>
              <w:spacing w:after="40"/>
            </w:pPr>
            <w:r/>
            <w:r>
              <w:rPr>
                <w:rFonts w:ascii="Times New Roman" w:hAnsi="Times New Roman" w:cs="Times New Roman"/>
                <w:b w:val="0"/>
                <w:i w:val="0"/>
                <w:sz w:val="19"/>
                <w:u w:val="none"/>
              </w:rPr>
              <w:t>Performance of work previously rejected by Brackenhill under Part 3</w:t>
            </w:r>
          </w:p>
        </w:tc>
      </w:tr>
      <w:tr>
        <w:tc>
          <w:tcPr>
            <w:tcW w:type="dxa" w:w="2304"/>
          </w:tcPr>
          <w:p>
            <w:pPr>
              <w:spacing w:after="40"/>
            </w:pPr>
            <w:r/>
            <w:r>
              <w:rPr>
                <w:rFonts w:ascii="Times New Roman" w:hAnsi="Times New Roman" w:cs="Times New Roman"/>
                <w:b w:val="0"/>
                <w:i w:val="0"/>
                <w:sz w:val="19"/>
                <w:u w:val="none"/>
              </w:rPr>
              <w:t>Super-User</w:t>
            </w:r>
          </w:p>
        </w:tc>
        <w:tc>
          <w:tcPr>
            <w:tcW w:type="dxa" w:w="7056"/>
          </w:tcPr>
          <w:p>
            <w:pPr>
              <w:spacing w:after="40"/>
            </w:pPr>
            <w:r/>
            <w:r>
              <w:rPr>
                <w:rFonts w:ascii="Times New Roman" w:hAnsi="Times New Roman" w:cs="Times New Roman"/>
                <w:b w:val="0"/>
                <w:i w:val="0"/>
                <w:sz w:val="19"/>
                <w:u w:val="none"/>
              </w:rPr>
              <w:t>A Brackenhill employee nominated under Part 7 to act as the first point of contact for the service in their region</w:t>
            </w:r>
          </w:p>
        </w:tc>
      </w:tr>
    </w:tbl>
    <w:p>
      <w:pPr/>
    </w:p>
    <w:p>
      <w:pPr>
        <w:spacing w:before="200" w:after="80" w:line="276" w:lineRule="auto"/>
      </w:pPr>
      <w:r>
        <w:rPr>
          <w:rFonts w:ascii="Calibri" w:hAnsi="Calibri" w:cs="Calibri"/>
          <w:b/>
          <w:i w:val="0"/>
          <w:sz w:val="24"/>
          <w:u w:val="none"/>
        </w:rPr>
        <w:t>Deliverables and Acceptance</w:t>
      </w:r>
    </w:p>
    <w:tbl>
      <w:tblPr>
        <w:tblStyle w:val="TableGrid"/>
        <w:tblW w:type="auto" w:w="0"/>
        <w:tblLook w:firstColumn="1" w:firstRow="1" w:lastColumn="0" w:lastRow="0" w:noHBand="0" w:noVBand="1" w:val="04A0"/>
      </w:tblPr>
      <w:tblGrid>
        <w:gridCol w:w="3024"/>
        <w:gridCol w:w="3024"/>
        <w:gridCol w:w="3024"/>
      </w:tblGrid>
      <w:tr>
        <w:tc>
          <w:tcPr>
            <w:tcW w:type="dxa" w:w="864"/>
          </w:tcPr>
          <w:p>
            <w:pPr>
              <w:spacing w:after="40"/>
            </w:pPr>
            <w:r/>
            <w:r>
              <w:rPr>
                <w:rFonts w:ascii="Times New Roman" w:hAnsi="Times New Roman" w:cs="Times New Roman"/>
                <w:b/>
                <w:i w:val="0"/>
                <w:sz w:val="19"/>
                <w:u w:val="none"/>
              </w:rPr>
              <w:t>Ref</w:t>
            </w:r>
          </w:p>
        </w:tc>
        <w:tc>
          <w:tcPr>
            <w:tcW w:type="dxa" w:w="3168"/>
          </w:tcPr>
          <w:p>
            <w:pPr>
              <w:spacing w:after="40"/>
            </w:pPr>
            <w:r/>
            <w:r>
              <w:rPr>
                <w:rFonts w:ascii="Times New Roman" w:hAnsi="Times New Roman" w:cs="Times New Roman"/>
                <w:b/>
                <w:i w:val="0"/>
                <w:sz w:val="19"/>
                <w:u w:val="none"/>
              </w:rPr>
              <w:t>Deliverable</w:t>
            </w:r>
          </w:p>
        </w:tc>
        <w:tc>
          <w:tcPr>
            <w:tcW w:type="dxa" w:w="5328"/>
          </w:tcPr>
          <w:p>
            <w:pPr>
              <w:spacing w:after="40"/>
            </w:pPr>
            <w:r/>
            <w:r>
              <w:rPr>
                <w:rFonts w:ascii="Times New Roman" w:hAnsi="Times New Roman" w:cs="Times New Roman"/>
                <w:b/>
                <w:i w:val="0"/>
                <w:sz w:val="19"/>
                <w:u w:val="none"/>
              </w:rPr>
              <w:t>Acceptance Criteria</w:t>
            </w:r>
          </w:p>
        </w:tc>
      </w:tr>
      <w:tr>
        <w:tc>
          <w:tcPr>
            <w:tcW w:type="dxa" w:w="864"/>
          </w:tcPr>
          <w:p>
            <w:pPr>
              <w:spacing w:after="40"/>
            </w:pPr>
            <w:r/>
            <w:r>
              <w:rPr>
                <w:rFonts w:ascii="Times New Roman" w:hAnsi="Times New Roman" w:cs="Times New Roman"/>
                <w:b w:val="0"/>
                <w:i w:val="0"/>
                <w:sz w:val="19"/>
                <w:u w:val="none"/>
              </w:rPr>
              <w:t>D1</w:t>
            </w:r>
          </w:p>
        </w:tc>
        <w:tc>
          <w:tcPr>
            <w:tcW w:type="dxa" w:w="3168"/>
          </w:tcPr>
          <w:p>
            <w:pPr>
              <w:spacing w:after="40"/>
            </w:pPr>
            <w:r/>
            <w:r>
              <w:rPr>
                <w:rFonts w:ascii="Times New Roman" w:hAnsi="Times New Roman" w:cs="Times New Roman"/>
                <w:b w:val="0"/>
                <w:i w:val="0"/>
                <w:sz w:val="19"/>
                <w:u w:val="none"/>
              </w:rPr>
              <w:t>Discovery and solution design report</w:t>
            </w:r>
          </w:p>
        </w:tc>
        <w:tc>
          <w:tcPr>
            <w:tcW w:type="dxa" w:w="5328"/>
          </w:tcPr>
          <w:p>
            <w:pPr>
              <w:spacing w:after="40"/>
            </w:pPr>
            <w:r/>
            <w:r>
              <w:rPr>
                <w:rFonts w:ascii="Times New Roman" w:hAnsi="Times New Roman" w:cs="Times New Roman"/>
                <w:b w:val="0"/>
                <w:i w:val="0"/>
                <w:sz w:val="19"/>
                <w:u w:val="none"/>
              </w:rPr>
              <w:t>Report delivered covering the eight agreed business processes, signed off by the Brackenhill IT Director</w:t>
            </w:r>
          </w:p>
        </w:tc>
      </w:tr>
      <w:tr>
        <w:tc>
          <w:tcPr>
            <w:tcW w:type="dxa" w:w="864"/>
          </w:tcPr>
          <w:p>
            <w:pPr>
              <w:spacing w:after="40"/>
            </w:pPr>
            <w:r/>
            <w:r>
              <w:rPr>
                <w:rFonts w:ascii="Times New Roman" w:hAnsi="Times New Roman" w:cs="Times New Roman"/>
                <w:b w:val="0"/>
                <w:i w:val="0"/>
                <w:sz w:val="19"/>
                <w:u w:val="none"/>
              </w:rPr>
              <w:t>D2</w:t>
            </w:r>
          </w:p>
        </w:tc>
        <w:tc>
          <w:tcPr>
            <w:tcW w:type="dxa" w:w="3168"/>
          </w:tcPr>
          <w:p>
            <w:pPr>
              <w:spacing w:after="40"/>
            </w:pPr>
            <w:r/>
            <w:r>
              <w:rPr>
                <w:rFonts w:ascii="Times New Roman" w:hAnsi="Times New Roman" w:cs="Times New Roman"/>
                <w:b w:val="0"/>
                <w:i w:val="0"/>
                <w:sz w:val="19"/>
                <w:u w:val="none"/>
              </w:rPr>
              <w:t>Environment build and configuration baseline</w:t>
            </w:r>
          </w:p>
        </w:tc>
        <w:tc>
          <w:tcPr>
            <w:tcW w:type="dxa" w:w="5328"/>
          </w:tcPr>
          <w:p>
            <w:pPr>
              <w:spacing w:after="40"/>
            </w:pPr>
            <w:r/>
            <w:r>
              <w:rPr>
                <w:rFonts w:ascii="Times New Roman" w:hAnsi="Times New Roman" w:cs="Times New Roman"/>
                <w:b w:val="0"/>
                <w:i w:val="0"/>
                <w:sz w:val="19"/>
                <w:u w:val="none"/>
              </w:rPr>
              <w:t>Environment available in the Production Service region, with role-based access configured against the agreed role matrix and successfully demonstrated</w:t>
            </w:r>
          </w:p>
        </w:tc>
      </w:tr>
      <w:tr>
        <w:tc>
          <w:tcPr>
            <w:tcW w:type="dxa" w:w="864"/>
          </w:tcPr>
          <w:p>
            <w:pPr>
              <w:spacing w:after="40"/>
            </w:pPr>
            <w:r/>
            <w:r>
              <w:rPr>
                <w:rFonts w:ascii="Times New Roman" w:hAnsi="Times New Roman" w:cs="Times New Roman"/>
                <w:b w:val="0"/>
                <w:i w:val="0"/>
                <w:sz w:val="19"/>
                <w:u w:val="none"/>
              </w:rPr>
              <w:t>D3</w:t>
            </w:r>
          </w:p>
        </w:tc>
        <w:tc>
          <w:tcPr>
            <w:tcW w:type="dxa" w:w="3168"/>
          </w:tcPr>
          <w:p>
            <w:pPr>
              <w:spacing w:after="40"/>
            </w:pPr>
            <w:r/>
            <w:r>
              <w:rPr>
                <w:rFonts w:ascii="Times New Roman" w:hAnsi="Times New Roman" w:cs="Times New Roman"/>
                <w:b w:val="0"/>
                <w:i w:val="0"/>
                <w:sz w:val="19"/>
                <w:u w:val="none"/>
              </w:rPr>
              <w:t>Store data extract and load</w:t>
            </w:r>
          </w:p>
        </w:tc>
        <w:tc>
          <w:tcPr>
            <w:tcW w:type="dxa" w:w="5328"/>
          </w:tcPr>
          <w:p>
            <w:pPr>
              <w:spacing w:after="40"/>
            </w:pPr>
            <w:r/>
            <w:r>
              <w:rPr>
                <w:rFonts w:ascii="Times New Roman" w:hAnsi="Times New Roman" w:cs="Times New Roman"/>
                <w:b w:val="0"/>
                <w:i w:val="0"/>
                <w:sz w:val="19"/>
                <w:u w:val="none"/>
              </w:rPr>
              <w:t>All in-scope store data loaded and reconciled to source, with a reconciliation report showing a variance of no more than 0.5%</w:t>
            </w:r>
          </w:p>
        </w:tc>
      </w:tr>
      <w:tr>
        <w:tc>
          <w:tcPr>
            <w:tcW w:type="dxa" w:w="864"/>
          </w:tcPr>
          <w:p>
            <w:pPr>
              <w:spacing w:after="40"/>
            </w:pPr>
            <w:r/>
            <w:r>
              <w:rPr>
                <w:rFonts w:ascii="Times New Roman" w:hAnsi="Times New Roman" w:cs="Times New Roman"/>
                <w:b w:val="0"/>
                <w:i w:val="0"/>
                <w:sz w:val="19"/>
                <w:u w:val="none"/>
              </w:rPr>
              <w:t>D4</w:t>
            </w:r>
          </w:p>
        </w:tc>
        <w:tc>
          <w:tcPr>
            <w:tcW w:type="dxa" w:w="3168"/>
          </w:tcPr>
          <w:p>
            <w:pPr>
              <w:spacing w:after="40"/>
            </w:pPr>
            <w:r/>
            <w:r>
              <w:rPr>
                <w:rFonts w:ascii="Times New Roman" w:hAnsi="Times New Roman" w:cs="Times New Roman"/>
                <w:b w:val="0"/>
                <w:i w:val="0"/>
                <w:sz w:val="19"/>
                <w:u w:val="none"/>
              </w:rPr>
              <w:t>Online trading integration</w:t>
            </w:r>
          </w:p>
        </w:tc>
        <w:tc>
          <w:tcPr>
            <w:tcW w:type="dxa" w:w="5328"/>
          </w:tcPr>
          <w:p>
            <w:pPr>
              <w:spacing w:after="40"/>
            </w:pPr>
            <w:r/>
            <w:r>
              <w:rPr>
                <w:rFonts w:ascii="Times New Roman" w:hAnsi="Times New Roman" w:cs="Times New Roman"/>
                <w:b w:val="0"/>
                <w:i w:val="0"/>
                <w:sz w:val="19"/>
                <w:u w:val="none"/>
              </w:rPr>
              <w:t>Order and returns flows end-to-end in the test environment, evidenced by agreed test scripts executed and passed</w:t>
            </w:r>
          </w:p>
        </w:tc>
      </w:tr>
      <w:tr>
        <w:tc>
          <w:tcPr>
            <w:tcW w:type="dxa" w:w="864"/>
          </w:tcPr>
          <w:p>
            <w:pPr>
              <w:spacing w:after="40"/>
            </w:pPr>
            <w:r/>
            <w:r>
              <w:rPr>
                <w:rFonts w:ascii="Times New Roman" w:hAnsi="Times New Roman" w:cs="Times New Roman"/>
                <w:b w:val="0"/>
                <w:i w:val="0"/>
                <w:sz w:val="19"/>
                <w:u w:val="none"/>
              </w:rPr>
              <w:t>D5</w:t>
            </w:r>
          </w:p>
        </w:tc>
        <w:tc>
          <w:tcPr>
            <w:tcW w:type="dxa" w:w="3168"/>
          </w:tcPr>
          <w:p>
            <w:pPr>
              <w:spacing w:after="40"/>
            </w:pPr>
            <w:r/>
            <w:r>
              <w:rPr>
                <w:rFonts w:ascii="Times New Roman" w:hAnsi="Times New Roman" w:cs="Times New Roman"/>
                <w:b w:val="0"/>
                <w:i w:val="0"/>
                <w:sz w:val="19"/>
                <w:u w:val="none"/>
              </w:rPr>
              <w:t>Reporting pack — 9 standard reports</w:t>
            </w:r>
          </w:p>
        </w:tc>
        <w:tc>
          <w:tcPr>
            <w:tcW w:type="dxa" w:w="5328"/>
          </w:tcPr>
          <w:p>
            <w:pPr>
              <w:spacing w:after="40"/>
            </w:pPr>
            <w:r/>
            <w:r>
              <w:rPr>
                <w:rFonts w:ascii="Times New Roman" w:hAnsi="Times New Roman" w:cs="Times New Roman"/>
                <w:b w:val="0"/>
                <w:i w:val="0"/>
                <w:sz w:val="19"/>
                <w:u w:val="none"/>
              </w:rPr>
              <w:t>Each report produced from live data and matching the reporting specification in Annex A to no material variance</w:t>
            </w:r>
          </w:p>
        </w:tc>
      </w:tr>
      <w:tr>
        <w:tc>
          <w:tcPr>
            <w:tcW w:type="dxa" w:w="864"/>
          </w:tcPr>
          <w:p>
            <w:pPr>
              <w:spacing w:after="40"/>
            </w:pPr>
            <w:r/>
            <w:r>
              <w:rPr>
                <w:rFonts w:ascii="Times New Roman" w:hAnsi="Times New Roman" w:cs="Times New Roman"/>
                <w:b w:val="0"/>
                <w:i w:val="0"/>
                <w:sz w:val="19"/>
                <w:u w:val="none"/>
              </w:rPr>
              <w:t>D6</w:t>
            </w:r>
          </w:p>
        </w:tc>
        <w:tc>
          <w:tcPr>
            <w:tcW w:type="dxa" w:w="3168"/>
          </w:tcPr>
          <w:p>
            <w:pPr>
              <w:spacing w:after="40"/>
            </w:pPr>
            <w:r/>
            <w:r>
              <w:rPr>
                <w:rFonts w:ascii="Times New Roman" w:hAnsi="Times New Roman" w:cs="Times New Roman"/>
                <w:b w:val="0"/>
                <w:i w:val="0"/>
                <w:sz w:val="19"/>
                <w:u w:val="none"/>
              </w:rPr>
              <w:t>Store rollout — 47 sites</w:t>
            </w:r>
          </w:p>
        </w:tc>
        <w:tc>
          <w:tcPr>
            <w:tcW w:type="dxa" w:w="5328"/>
          </w:tcPr>
          <w:p>
            <w:pPr>
              <w:spacing w:after="40"/>
            </w:pPr>
            <w:r/>
            <w:r>
              <w:rPr>
                <w:rFonts w:ascii="Times New Roman" w:hAnsi="Times New Roman" w:cs="Times New Roman"/>
                <w:b w:val="0"/>
                <w:i w:val="0"/>
                <w:sz w:val="19"/>
                <w:u w:val="none"/>
              </w:rPr>
              <w:t>Each site live in accordance with the rollout plan, with a signed site acceptance record per site</w:t>
            </w:r>
          </w:p>
        </w:tc>
      </w:tr>
      <w:tr>
        <w:tc>
          <w:tcPr>
            <w:tcW w:type="dxa" w:w="864"/>
          </w:tcPr>
          <w:p>
            <w:pPr>
              <w:spacing w:after="40"/>
            </w:pPr>
            <w:r/>
            <w:r>
              <w:rPr>
                <w:rFonts w:ascii="Times New Roman" w:hAnsi="Times New Roman" w:cs="Times New Roman"/>
                <w:b w:val="0"/>
                <w:i w:val="0"/>
                <w:sz w:val="19"/>
                <w:u w:val="none"/>
              </w:rPr>
              <w:t>D7</w:t>
            </w:r>
          </w:p>
        </w:tc>
        <w:tc>
          <w:tcPr>
            <w:tcW w:type="dxa" w:w="3168"/>
          </w:tcPr>
          <w:p>
            <w:pPr>
              <w:spacing w:after="40"/>
            </w:pPr>
            <w:r/>
            <w:r>
              <w:rPr>
                <w:rFonts w:ascii="Times New Roman" w:hAnsi="Times New Roman" w:cs="Times New Roman"/>
                <w:b w:val="0"/>
                <w:i w:val="0"/>
                <w:sz w:val="19"/>
                <w:u w:val="none"/>
              </w:rPr>
              <w:t>Super-user training and handover</w:t>
            </w:r>
          </w:p>
        </w:tc>
        <w:tc>
          <w:tcPr>
            <w:tcW w:type="dxa" w:w="5328"/>
          </w:tcPr>
          <w:p>
            <w:pPr>
              <w:spacing w:after="40"/>
            </w:pPr>
            <w:r/>
            <w:r>
              <w:rPr>
                <w:rFonts w:ascii="Times New Roman" w:hAnsi="Times New Roman" w:cs="Times New Roman"/>
                <w:b w:val="0"/>
                <w:i w:val="0"/>
                <w:sz w:val="19"/>
                <w:u w:val="none"/>
              </w:rPr>
              <w:t>At least 90% of nominated Super-Users assessed as competent by Cloudberry following a delivered training session</w:t>
            </w:r>
          </w:p>
        </w:tc>
      </w:tr>
    </w:tbl>
    <w:p>
      <w:pPr/>
    </w:p>
    <w:p>
      <w:pPr>
        <w:spacing w:before="0" w:after="120" w:line="276" w:lineRule="auto"/>
      </w:pPr>
      <w:r>
        <w:rPr>
          <w:rFonts w:ascii="Times New Roman" w:hAnsi="Times New Roman" w:cs="Times New Roman"/>
          <w:b w:val="0"/>
          <w:i w:val="0"/>
          <w:u w:val="none"/>
        </w:rPr>
        <w:t>Cloudberry shall notify Brackenhill in writing on delivery of each Deliverable. Brackenhill shall have 20 working days from delivery to test a Deliverable against its Acceptance Criteria and either accept it or reject it in writing, identifying the specific failures against those criteria. If Brackenhill does not respond within that period the Deliverable is deemed accepted. Where a Deliverable is rejected, Cloudberry shall Re-perform the work within 15 working days and re-submit it, and the same testing period applies on re-submission.</w:t>
      </w:r>
    </w:p>
    <w:p>
      <w:pPr>
        <w:spacing w:before="200" w:after="80" w:line="276" w:lineRule="auto"/>
      </w:pPr>
      <w:r>
        <w:rPr>
          <w:rFonts w:ascii="Calibri" w:hAnsi="Calibri" w:cs="Calibri"/>
          <w:b/>
          <w:i w:val="0"/>
          <w:sz w:val="24"/>
          <w:u w:val="none"/>
        </w:rPr>
        <w:t>Milestones, Fees and Payment</w:t>
      </w:r>
    </w:p>
    <w:tbl>
      <w:tblPr>
        <w:tblStyle w:val="TableGrid"/>
        <w:tblW w:type="auto" w:w="0"/>
        <w:tblLook w:firstColumn="1" w:firstRow="1" w:lastColumn="0" w:lastRow="0" w:noHBand="0" w:noVBand="1" w:val="04A0"/>
      </w:tblPr>
      <w:tblGrid>
        <w:gridCol w:w="2268"/>
        <w:gridCol w:w="2268"/>
        <w:gridCol w:w="2268"/>
        <w:gridCol w:w="2268"/>
      </w:tblGrid>
      <w:tr>
        <w:tc>
          <w:tcPr>
            <w:tcW w:type="dxa" w:w="2736"/>
          </w:tcPr>
          <w:p>
            <w:pPr>
              <w:spacing w:after="40"/>
            </w:pPr>
            <w:r/>
            <w:r>
              <w:rPr>
                <w:rFonts w:ascii="Times New Roman" w:hAnsi="Times New Roman" w:cs="Times New Roman"/>
                <w:b/>
                <w:i w:val="0"/>
                <w:sz w:val="19"/>
                <w:u w:val="none"/>
              </w:rPr>
              <w:t>Milestone</w:t>
            </w:r>
          </w:p>
        </w:tc>
        <w:tc>
          <w:tcPr>
            <w:tcW w:type="dxa" w:w="2592"/>
          </w:tcPr>
          <w:p>
            <w:pPr>
              <w:spacing w:after="40"/>
            </w:pPr>
            <w:r/>
            <w:r>
              <w:rPr>
                <w:rFonts w:ascii="Times New Roman" w:hAnsi="Times New Roman" w:cs="Times New Roman"/>
                <w:b/>
                <w:i w:val="0"/>
                <w:sz w:val="19"/>
                <w:u w:val="none"/>
              </w:rPr>
              <w:t>Deliverables covered</w:t>
            </w:r>
          </w:p>
        </w:tc>
        <w:tc>
          <w:tcPr>
            <w:tcW w:type="dxa" w:w="2160"/>
          </w:tcPr>
          <w:p>
            <w:pPr>
              <w:spacing w:after="40"/>
            </w:pPr>
            <w:r/>
            <w:r>
              <w:rPr>
                <w:rFonts w:ascii="Times New Roman" w:hAnsi="Times New Roman" w:cs="Times New Roman"/>
                <w:b/>
                <w:i w:val="0"/>
                <w:sz w:val="19"/>
                <w:u w:val="none"/>
              </w:rPr>
              <w:t>Milestone Date</w:t>
            </w:r>
          </w:p>
        </w:tc>
        <w:tc>
          <w:tcPr>
            <w:tcW w:type="dxa" w:w="1872"/>
          </w:tcPr>
          <w:p>
            <w:pPr>
              <w:spacing w:after="40"/>
            </w:pPr>
            <w:r/>
            <w:r>
              <w:rPr>
                <w:rFonts w:ascii="Times New Roman" w:hAnsi="Times New Roman" w:cs="Times New Roman"/>
                <w:b/>
                <w:i w:val="0"/>
                <w:sz w:val="19"/>
                <w:u w:val="none"/>
              </w:rPr>
              <w:t>Charge (GBP)</w:t>
            </w:r>
          </w:p>
        </w:tc>
      </w:tr>
      <w:tr>
        <w:tc>
          <w:tcPr>
            <w:tcW w:type="dxa" w:w="2736"/>
          </w:tcPr>
          <w:p>
            <w:pPr>
              <w:spacing w:after="40"/>
            </w:pPr>
            <w:r/>
            <w:r>
              <w:rPr>
                <w:rFonts w:ascii="Times New Roman" w:hAnsi="Times New Roman" w:cs="Times New Roman"/>
                <w:b w:val="0"/>
                <w:i w:val="0"/>
                <w:sz w:val="19"/>
                <w:u w:val="none"/>
              </w:rPr>
              <w:t>M1 — Design sign-off</w:t>
            </w:r>
          </w:p>
        </w:tc>
        <w:tc>
          <w:tcPr>
            <w:tcW w:type="dxa" w:w="2592"/>
          </w:tcPr>
          <w:p>
            <w:pPr>
              <w:spacing w:after="40"/>
            </w:pPr>
            <w:r/>
            <w:r>
              <w:rPr>
                <w:rFonts w:ascii="Times New Roman" w:hAnsi="Times New Roman" w:cs="Times New Roman"/>
                <w:b w:val="0"/>
                <w:i w:val="0"/>
                <w:sz w:val="19"/>
                <w:u w:val="none"/>
              </w:rPr>
              <w:t>D1</w:t>
            </w:r>
          </w:p>
        </w:tc>
        <w:tc>
          <w:tcPr>
            <w:tcW w:type="dxa" w:w="2160"/>
          </w:tcPr>
          <w:p>
            <w:pPr>
              <w:spacing w:after="40"/>
            </w:pPr>
            <w:r/>
            <w:r>
              <w:rPr>
                <w:rFonts w:ascii="Times New Roman" w:hAnsi="Times New Roman" w:cs="Times New Roman"/>
                <w:b w:val="0"/>
                <w:i w:val="0"/>
                <w:sz w:val="19"/>
                <w:u w:val="none"/>
              </w:rPr>
              <w:t>13 November 2026</w:t>
            </w:r>
          </w:p>
        </w:tc>
        <w:tc>
          <w:tcPr>
            <w:tcW w:type="dxa" w:w="1872"/>
          </w:tcPr>
          <w:p>
            <w:pPr>
              <w:spacing w:after="40"/>
            </w:pPr>
            <w:r/>
            <w:r>
              <w:rPr>
                <w:rFonts w:ascii="Times New Roman" w:hAnsi="Times New Roman" w:cs="Times New Roman"/>
                <w:b w:val="0"/>
                <w:i w:val="0"/>
                <w:sz w:val="19"/>
                <w:u w:val="none"/>
              </w:rPr>
              <w:t>12,000</w:t>
            </w:r>
          </w:p>
        </w:tc>
      </w:tr>
      <w:tr>
        <w:tc>
          <w:tcPr>
            <w:tcW w:type="dxa" w:w="2736"/>
          </w:tcPr>
          <w:p>
            <w:pPr>
              <w:spacing w:after="40"/>
            </w:pPr>
            <w:r/>
            <w:r>
              <w:rPr>
                <w:rFonts w:ascii="Times New Roman" w:hAnsi="Times New Roman" w:cs="Times New Roman"/>
                <w:b w:val="0"/>
                <w:i w:val="0"/>
                <w:sz w:val="19"/>
                <w:u w:val="none"/>
              </w:rPr>
              <w:t>M2 — Environment ready</w:t>
            </w:r>
          </w:p>
        </w:tc>
        <w:tc>
          <w:tcPr>
            <w:tcW w:type="dxa" w:w="2592"/>
          </w:tcPr>
          <w:p>
            <w:pPr>
              <w:spacing w:after="40"/>
            </w:pPr>
            <w:r/>
            <w:r>
              <w:rPr>
                <w:rFonts w:ascii="Times New Roman" w:hAnsi="Times New Roman" w:cs="Times New Roman"/>
                <w:b w:val="0"/>
                <w:i w:val="0"/>
                <w:sz w:val="19"/>
                <w:u w:val="none"/>
              </w:rPr>
              <w:t>D2</w:t>
            </w:r>
          </w:p>
        </w:tc>
        <w:tc>
          <w:tcPr>
            <w:tcW w:type="dxa" w:w="2160"/>
          </w:tcPr>
          <w:p>
            <w:pPr>
              <w:spacing w:after="40"/>
            </w:pPr>
            <w:r/>
            <w:r>
              <w:rPr>
                <w:rFonts w:ascii="Times New Roman" w:hAnsi="Times New Roman" w:cs="Times New Roman"/>
                <w:b w:val="0"/>
                <w:i w:val="0"/>
                <w:sz w:val="19"/>
                <w:u w:val="none"/>
              </w:rPr>
              <w:t>18 December 2026</w:t>
            </w:r>
          </w:p>
        </w:tc>
        <w:tc>
          <w:tcPr>
            <w:tcW w:type="dxa" w:w="1872"/>
          </w:tcPr>
          <w:p>
            <w:pPr>
              <w:spacing w:after="40"/>
            </w:pPr>
            <w:r/>
            <w:r>
              <w:rPr>
                <w:rFonts w:ascii="Times New Roman" w:hAnsi="Times New Roman" w:cs="Times New Roman"/>
                <w:b w:val="0"/>
                <w:i w:val="0"/>
                <w:sz w:val="19"/>
                <w:u w:val="none"/>
              </w:rPr>
              <w:t>9,000</w:t>
            </w:r>
          </w:p>
        </w:tc>
      </w:tr>
      <w:tr>
        <w:tc>
          <w:tcPr>
            <w:tcW w:type="dxa" w:w="2736"/>
          </w:tcPr>
          <w:p>
            <w:pPr>
              <w:spacing w:after="40"/>
            </w:pPr>
            <w:r/>
            <w:r>
              <w:rPr>
                <w:rFonts w:ascii="Times New Roman" w:hAnsi="Times New Roman" w:cs="Times New Roman"/>
                <w:b w:val="0"/>
                <w:i w:val="0"/>
                <w:sz w:val="19"/>
                <w:u w:val="none"/>
              </w:rPr>
              <w:t>M3 — Data loaded and reconciled</w:t>
            </w:r>
          </w:p>
        </w:tc>
        <w:tc>
          <w:tcPr>
            <w:tcW w:type="dxa" w:w="2592"/>
          </w:tcPr>
          <w:p>
            <w:pPr>
              <w:spacing w:after="40"/>
            </w:pPr>
            <w:r/>
            <w:r>
              <w:rPr>
                <w:rFonts w:ascii="Times New Roman" w:hAnsi="Times New Roman" w:cs="Times New Roman"/>
                <w:b w:val="0"/>
                <w:i w:val="0"/>
                <w:sz w:val="19"/>
                <w:u w:val="none"/>
              </w:rPr>
              <w:t>D3</w:t>
            </w:r>
          </w:p>
        </w:tc>
        <w:tc>
          <w:tcPr>
            <w:tcW w:type="dxa" w:w="2160"/>
          </w:tcPr>
          <w:p>
            <w:pPr>
              <w:spacing w:after="40"/>
            </w:pPr>
            <w:r/>
            <w:r>
              <w:rPr>
                <w:rFonts w:ascii="Times New Roman" w:hAnsi="Times New Roman" w:cs="Times New Roman"/>
                <w:b w:val="0"/>
                <w:i w:val="0"/>
                <w:sz w:val="19"/>
                <w:u w:val="none"/>
              </w:rPr>
              <w:t>22 January 2027</w:t>
            </w:r>
          </w:p>
        </w:tc>
        <w:tc>
          <w:tcPr>
            <w:tcW w:type="dxa" w:w="1872"/>
          </w:tcPr>
          <w:p>
            <w:pPr>
              <w:spacing w:after="40"/>
            </w:pPr>
            <w:r/>
            <w:r>
              <w:rPr>
                <w:rFonts w:ascii="Times New Roman" w:hAnsi="Times New Roman" w:cs="Times New Roman"/>
                <w:b w:val="0"/>
                <w:i w:val="0"/>
                <w:sz w:val="19"/>
                <w:u w:val="none"/>
              </w:rPr>
              <w:t>12,000</w:t>
            </w:r>
          </w:p>
        </w:tc>
      </w:tr>
      <w:tr>
        <w:tc>
          <w:tcPr>
            <w:tcW w:type="dxa" w:w="2736"/>
          </w:tcPr>
          <w:p>
            <w:pPr>
              <w:spacing w:after="40"/>
            </w:pPr>
            <w:r/>
            <w:r>
              <w:rPr>
                <w:rFonts w:ascii="Times New Roman" w:hAnsi="Times New Roman" w:cs="Times New Roman"/>
                <w:b w:val="0"/>
                <w:i w:val="0"/>
                <w:sz w:val="19"/>
                <w:u w:val="none"/>
              </w:rPr>
              <w:t>M4 — Integration complete</w:t>
            </w:r>
          </w:p>
        </w:tc>
        <w:tc>
          <w:tcPr>
            <w:tcW w:type="dxa" w:w="2592"/>
          </w:tcPr>
          <w:p>
            <w:pPr>
              <w:spacing w:after="40"/>
            </w:pPr>
            <w:r/>
            <w:r>
              <w:rPr>
                <w:rFonts w:ascii="Times New Roman" w:hAnsi="Times New Roman" w:cs="Times New Roman"/>
                <w:b w:val="0"/>
                <w:i w:val="0"/>
                <w:sz w:val="19"/>
                <w:u w:val="none"/>
              </w:rPr>
              <w:t>D4</w:t>
            </w:r>
          </w:p>
        </w:tc>
        <w:tc>
          <w:tcPr>
            <w:tcW w:type="dxa" w:w="2160"/>
          </w:tcPr>
          <w:p>
            <w:pPr>
              <w:spacing w:after="40"/>
            </w:pPr>
            <w:r/>
            <w:r>
              <w:rPr>
                <w:rFonts w:ascii="Times New Roman" w:hAnsi="Times New Roman" w:cs="Times New Roman"/>
                <w:b w:val="0"/>
                <w:i w:val="0"/>
                <w:sz w:val="19"/>
                <w:u w:val="none"/>
              </w:rPr>
              <w:t>12 February 2027</w:t>
            </w:r>
          </w:p>
        </w:tc>
        <w:tc>
          <w:tcPr>
            <w:tcW w:type="dxa" w:w="1872"/>
          </w:tcPr>
          <w:p>
            <w:pPr>
              <w:spacing w:after="40"/>
            </w:pPr>
            <w:r/>
            <w:r>
              <w:rPr>
                <w:rFonts w:ascii="Times New Roman" w:hAnsi="Times New Roman" w:cs="Times New Roman"/>
                <w:b w:val="0"/>
                <w:i w:val="0"/>
                <w:sz w:val="19"/>
                <w:u w:val="none"/>
              </w:rPr>
              <w:t>7,000</w:t>
            </w:r>
          </w:p>
        </w:tc>
      </w:tr>
      <w:tr>
        <w:tc>
          <w:tcPr>
            <w:tcW w:type="dxa" w:w="2736"/>
          </w:tcPr>
          <w:p>
            <w:pPr>
              <w:spacing w:after="40"/>
            </w:pPr>
            <w:r/>
            <w:r>
              <w:rPr>
                <w:rFonts w:ascii="Times New Roman" w:hAnsi="Times New Roman" w:cs="Times New Roman"/>
                <w:b w:val="0"/>
                <w:i w:val="0"/>
                <w:sz w:val="19"/>
                <w:u w:val="none"/>
              </w:rPr>
              <w:t>M5 — Reporting pack accepted</w:t>
            </w:r>
          </w:p>
        </w:tc>
        <w:tc>
          <w:tcPr>
            <w:tcW w:type="dxa" w:w="2592"/>
          </w:tcPr>
          <w:p>
            <w:pPr>
              <w:spacing w:after="40"/>
            </w:pPr>
            <w:r/>
            <w:r>
              <w:rPr>
                <w:rFonts w:ascii="Times New Roman" w:hAnsi="Times New Roman" w:cs="Times New Roman"/>
                <w:b w:val="0"/>
                <w:i w:val="0"/>
                <w:sz w:val="19"/>
                <w:u w:val="none"/>
              </w:rPr>
              <w:t>D5</w:t>
            </w:r>
          </w:p>
        </w:tc>
        <w:tc>
          <w:tcPr>
            <w:tcW w:type="dxa" w:w="2160"/>
          </w:tcPr>
          <w:p>
            <w:pPr>
              <w:spacing w:after="40"/>
            </w:pPr>
            <w:r/>
            <w:r>
              <w:rPr>
                <w:rFonts w:ascii="Times New Roman" w:hAnsi="Times New Roman" w:cs="Times New Roman"/>
                <w:b w:val="0"/>
                <w:i w:val="0"/>
                <w:sz w:val="19"/>
                <w:u w:val="none"/>
              </w:rPr>
              <w:t>19 February 2027</w:t>
            </w:r>
          </w:p>
        </w:tc>
        <w:tc>
          <w:tcPr>
            <w:tcW w:type="dxa" w:w="1872"/>
          </w:tcPr>
          <w:p>
            <w:pPr>
              <w:spacing w:after="40"/>
            </w:pPr>
            <w:r/>
            <w:r>
              <w:rPr>
                <w:rFonts w:ascii="Times New Roman" w:hAnsi="Times New Roman" w:cs="Times New Roman"/>
                <w:b w:val="0"/>
                <w:i w:val="0"/>
                <w:sz w:val="19"/>
                <w:u w:val="none"/>
              </w:rPr>
              <w:t>5,000</w:t>
            </w:r>
          </w:p>
        </w:tc>
      </w:tr>
      <w:tr>
        <w:tc>
          <w:tcPr>
            <w:tcW w:type="dxa" w:w="2736"/>
          </w:tcPr>
          <w:p>
            <w:pPr>
              <w:spacing w:after="40"/>
            </w:pPr>
            <w:r/>
            <w:r>
              <w:rPr>
                <w:rFonts w:ascii="Times New Roman" w:hAnsi="Times New Roman" w:cs="Times New Roman"/>
                <w:b w:val="0"/>
                <w:i w:val="0"/>
                <w:sz w:val="19"/>
                <w:u w:val="none"/>
              </w:rPr>
              <w:t>M6 — Store rollout complete</w:t>
            </w:r>
          </w:p>
        </w:tc>
        <w:tc>
          <w:tcPr>
            <w:tcW w:type="dxa" w:w="2592"/>
          </w:tcPr>
          <w:p>
            <w:pPr>
              <w:spacing w:after="40"/>
            </w:pPr>
            <w:r/>
            <w:r>
              <w:rPr>
                <w:rFonts w:ascii="Times New Roman" w:hAnsi="Times New Roman" w:cs="Times New Roman"/>
                <w:b w:val="0"/>
                <w:i w:val="0"/>
                <w:sz w:val="19"/>
                <w:u w:val="none"/>
              </w:rPr>
              <w:t>D6</w:t>
            </w:r>
          </w:p>
        </w:tc>
        <w:tc>
          <w:tcPr>
            <w:tcW w:type="dxa" w:w="2160"/>
          </w:tcPr>
          <w:p>
            <w:pPr>
              <w:spacing w:after="40"/>
            </w:pPr>
            <w:r/>
            <w:r>
              <w:rPr>
                <w:rFonts w:ascii="Times New Roman" w:hAnsi="Times New Roman" w:cs="Times New Roman"/>
                <w:b w:val="0"/>
                <w:i w:val="0"/>
                <w:sz w:val="19"/>
                <w:u w:val="none"/>
              </w:rPr>
              <w:t>26 February 2027</w:t>
            </w:r>
          </w:p>
        </w:tc>
        <w:tc>
          <w:tcPr>
            <w:tcW w:type="dxa" w:w="1872"/>
          </w:tcPr>
          <w:p>
            <w:pPr>
              <w:spacing w:after="40"/>
            </w:pPr>
            <w:r/>
            <w:r>
              <w:rPr>
                <w:rFonts w:ascii="Times New Roman" w:hAnsi="Times New Roman" w:cs="Times New Roman"/>
                <w:b w:val="0"/>
                <w:i w:val="0"/>
                <w:sz w:val="19"/>
                <w:u w:val="none"/>
              </w:rPr>
              <w:t>3,000</w:t>
            </w:r>
          </w:p>
        </w:tc>
      </w:tr>
      <w:tr>
        <w:tc>
          <w:tcPr>
            <w:tcW w:type="dxa" w:w="2736"/>
          </w:tcPr>
          <w:p>
            <w:pPr>
              <w:spacing w:after="40"/>
            </w:pPr>
            <w:r/>
            <w:r>
              <w:rPr>
                <w:rFonts w:ascii="Times New Roman" w:hAnsi="Times New Roman" w:cs="Times New Roman"/>
                <w:b w:val="0"/>
                <w:i w:val="0"/>
                <w:sz w:val="19"/>
                <w:u w:val="none"/>
              </w:rPr>
              <w:t>Total</w:t>
            </w:r>
          </w:p>
        </w:tc>
        <w:tc>
          <w:tcPr>
            <w:tcW w:type="dxa" w:w="2592"/>
          </w:tcPr>
          <w:p>
            <w:pPr>
              <w:spacing w:after="40"/>
            </w:pPr>
            <w:r/>
            <w:r>
              <w:rPr>
                <w:rFonts w:ascii="Times New Roman" w:hAnsi="Times New Roman" w:cs="Times New Roman"/>
                <w:b w:val="0"/>
                <w:i w:val="0"/>
                <w:sz w:val="19"/>
                <w:u w:val="none"/>
              </w:rPr>
            </w:r>
          </w:p>
        </w:tc>
        <w:tc>
          <w:tcPr>
            <w:tcW w:type="dxa" w:w="2160"/>
          </w:tcPr>
          <w:p>
            <w:pPr>
              <w:spacing w:after="40"/>
            </w:pPr>
            <w:r/>
            <w:r>
              <w:rPr>
                <w:rFonts w:ascii="Times New Roman" w:hAnsi="Times New Roman" w:cs="Times New Roman"/>
                <w:b w:val="0"/>
                <w:i w:val="0"/>
                <w:sz w:val="19"/>
                <w:u w:val="none"/>
              </w:rPr>
            </w:r>
          </w:p>
        </w:tc>
        <w:tc>
          <w:tcPr>
            <w:tcW w:type="dxa" w:w="1872"/>
          </w:tcPr>
          <w:p>
            <w:pPr>
              <w:spacing w:after="40"/>
            </w:pPr>
            <w:r/>
            <w:r>
              <w:rPr>
                <w:rFonts w:ascii="Times New Roman" w:hAnsi="Times New Roman" w:cs="Times New Roman"/>
                <w:b w:val="0"/>
                <w:i w:val="0"/>
                <w:sz w:val="19"/>
                <w:u w:val="none"/>
              </w:rPr>
              <w:t>48,000</w:t>
            </w:r>
          </w:p>
        </w:tc>
      </w:tr>
    </w:tbl>
    <w:p>
      <w:pPr/>
    </w:p>
    <w:p>
      <w:pPr>
        <w:spacing w:before="0" w:after="120" w:line="276" w:lineRule="auto"/>
      </w:pPr>
      <w:r>
        <w:rPr>
          <w:rFonts w:ascii="Times New Roman" w:hAnsi="Times New Roman" w:cs="Times New Roman"/>
          <w:b w:val="0"/>
          <w:i w:val="0"/>
          <w:u w:val="none"/>
        </w:rPr>
        <w:t>Cloudberry shall be entitled to raise an invoice in respect of a Milestone on the Milestone Date set out above. Each invoice shall be payable 30 days from its date and shall set out the Milestone, the Deliverables accepted or deemed accepted in respect of it, and the amount payable. Brackenhill is not required to withhold any amount in respect of Deliverables that have not yet been accepted.</w:t>
      </w:r>
    </w:p>
    <w:p>
      <w:pPr>
        <w:spacing w:before="200" w:after="80" w:line="276" w:lineRule="auto"/>
      </w:pPr>
      <w:r>
        <w:rPr>
          <w:rFonts w:ascii="Calibri" w:hAnsi="Calibri" w:cs="Calibri"/>
          <w:b/>
          <w:i w:val="0"/>
          <w:sz w:val="24"/>
          <w:u w:val="none"/>
        </w:rPr>
        <w:t>Governance, Roles and Responsibilities</w:t>
      </w:r>
    </w:p>
    <w:tbl>
      <w:tblPr>
        <w:tblStyle w:val="TableGrid"/>
        <w:tblW w:type="auto" w:w="0"/>
        <w:tblLook w:firstColumn="1" w:firstRow="1" w:lastColumn="0" w:lastRow="0" w:noHBand="0" w:noVBand="1" w:val="04A0"/>
      </w:tblPr>
      <w:tblGrid>
        <w:gridCol w:w="3024"/>
        <w:gridCol w:w="3024"/>
        <w:gridCol w:w="3024"/>
      </w:tblGrid>
      <w:tr>
        <w:tc>
          <w:tcPr>
            <w:tcW w:type="dxa" w:w="4320"/>
          </w:tcPr>
          <w:p>
            <w:pPr>
              <w:spacing w:after="40"/>
            </w:pPr>
            <w:r/>
            <w:r>
              <w:rPr>
                <w:rFonts w:ascii="Times New Roman" w:hAnsi="Times New Roman" w:cs="Times New Roman"/>
                <w:b/>
                <w:i w:val="0"/>
                <w:sz w:val="19"/>
                <w:u w:val="none"/>
              </w:rPr>
              <w:t>Activity</w:t>
            </w:r>
          </w:p>
        </w:tc>
        <w:tc>
          <w:tcPr>
            <w:tcW w:type="dxa" w:w="2592"/>
          </w:tcPr>
          <w:p>
            <w:pPr>
              <w:spacing w:after="40"/>
            </w:pPr>
            <w:r/>
            <w:r>
              <w:rPr>
                <w:rFonts w:ascii="Times New Roman" w:hAnsi="Times New Roman" w:cs="Times New Roman"/>
                <w:b/>
                <w:i w:val="0"/>
                <w:sz w:val="19"/>
                <w:u w:val="none"/>
              </w:rPr>
              <w:t>Cloudberry</w:t>
            </w:r>
          </w:p>
        </w:tc>
        <w:tc>
          <w:tcPr>
            <w:tcW w:type="dxa" w:w="2448"/>
          </w:tcPr>
          <w:p>
            <w:pPr>
              <w:spacing w:after="40"/>
            </w:pPr>
            <w:r/>
            <w:r>
              <w:rPr>
                <w:rFonts w:ascii="Times New Roman" w:hAnsi="Times New Roman" w:cs="Times New Roman"/>
                <w:b/>
                <w:i w:val="0"/>
                <w:sz w:val="19"/>
                <w:u w:val="none"/>
              </w:rPr>
              <w:t>Brackenhill</w:t>
            </w:r>
          </w:p>
        </w:tc>
      </w:tr>
      <w:tr>
        <w:tc>
          <w:tcPr>
            <w:tcW w:type="dxa" w:w="4320"/>
          </w:tcPr>
          <w:p>
            <w:pPr>
              <w:spacing w:after="40"/>
            </w:pPr>
            <w:r/>
            <w:r>
              <w:rPr>
                <w:rFonts w:ascii="Times New Roman" w:hAnsi="Times New Roman" w:cs="Times New Roman"/>
                <w:b w:val="0"/>
                <w:i w:val="0"/>
                <w:sz w:val="19"/>
                <w:u w:val="none"/>
              </w:rPr>
              <w:t>Solution design</w:t>
            </w:r>
          </w:p>
        </w:tc>
        <w:tc>
          <w:tcPr>
            <w:tcW w:type="dxa" w:w="2592"/>
          </w:tcPr>
          <w:p>
            <w:pPr>
              <w:spacing w:after="40"/>
            </w:pPr>
            <w:r/>
            <w:r>
              <w:rPr>
                <w:rFonts w:ascii="Times New Roman" w:hAnsi="Times New Roman" w:cs="Times New Roman"/>
                <w:b w:val="0"/>
                <w:i w:val="0"/>
                <w:sz w:val="19"/>
                <w:u w:val="none"/>
              </w:rPr>
              <w:t>Accountable</w:t>
            </w:r>
          </w:p>
        </w:tc>
        <w:tc>
          <w:tcPr>
            <w:tcW w:type="dxa" w:w="2448"/>
          </w:tcPr>
          <w:p>
            <w:pPr>
              <w:spacing w:after="40"/>
            </w:pPr>
            <w:r/>
            <w:r>
              <w:rPr>
                <w:rFonts w:ascii="Times New Roman" w:hAnsi="Times New Roman" w:cs="Times New Roman"/>
                <w:b w:val="0"/>
                <w:i w:val="0"/>
                <w:sz w:val="19"/>
                <w:u w:val="none"/>
              </w:rPr>
              <w:t>Consulted</w:t>
            </w:r>
          </w:p>
        </w:tc>
      </w:tr>
      <w:tr>
        <w:tc>
          <w:tcPr>
            <w:tcW w:type="dxa" w:w="4320"/>
          </w:tcPr>
          <w:p>
            <w:pPr>
              <w:spacing w:after="40"/>
            </w:pPr>
            <w:r/>
            <w:r>
              <w:rPr>
                <w:rFonts w:ascii="Times New Roman" w:hAnsi="Times New Roman" w:cs="Times New Roman"/>
                <w:b w:val="0"/>
                <w:i w:val="0"/>
                <w:sz w:val="19"/>
                <w:u w:val="none"/>
              </w:rPr>
              <w:t>Environment provisioning</w:t>
            </w:r>
          </w:p>
        </w:tc>
        <w:tc>
          <w:tcPr>
            <w:tcW w:type="dxa" w:w="2592"/>
          </w:tcPr>
          <w:p>
            <w:pPr>
              <w:spacing w:after="40"/>
            </w:pPr>
            <w:r/>
            <w:r>
              <w:rPr>
                <w:rFonts w:ascii="Times New Roman" w:hAnsi="Times New Roman" w:cs="Times New Roman"/>
                <w:b w:val="0"/>
                <w:i w:val="0"/>
                <w:sz w:val="19"/>
                <w:u w:val="none"/>
              </w:rPr>
              <w:t>Responsible</w:t>
            </w:r>
          </w:p>
        </w:tc>
        <w:tc>
          <w:tcPr>
            <w:tcW w:type="dxa" w:w="2448"/>
          </w:tcPr>
          <w:p>
            <w:pPr>
              <w:spacing w:after="40"/>
            </w:pPr>
            <w:r/>
            <w:r>
              <w:rPr>
                <w:rFonts w:ascii="Times New Roman" w:hAnsi="Times New Roman" w:cs="Times New Roman"/>
                <w:b w:val="0"/>
                <w:i w:val="0"/>
                <w:sz w:val="19"/>
                <w:u w:val="none"/>
              </w:rPr>
              <w:t>Accountable</w:t>
            </w:r>
          </w:p>
        </w:tc>
      </w:tr>
      <w:tr>
        <w:tc>
          <w:tcPr>
            <w:tcW w:type="dxa" w:w="4320"/>
          </w:tcPr>
          <w:p>
            <w:pPr>
              <w:spacing w:after="40"/>
            </w:pPr>
            <w:r/>
            <w:r>
              <w:rPr>
                <w:rFonts w:ascii="Times New Roman" w:hAnsi="Times New Roman" w:cs="Times New Roman"/>
                <w:b w:val="0"/>
                <w:i w:val="0"/>
                <w:sz w:val="19"/>
                <w:u w:val="none"/>
              </w:rPr>
              <w:t>Network and firewall changes</w:t>
            </w:r>
          </w:p>
        </w:tc>
        <w:tc>
          <w:tcPr>
            <w:tcW w:type="dxa" w:w="2592"/>
          </w:tcPr>
          <w:p>
            <w:pPr>
              <w:spacing w:after="40"/>
            </w:pPr>
            <w:r/>
            <w:r>
              <w:rPr>
                <w:rFonts w:ascii="Times New Roman" w:hAnsi="Times New Roman" w:cs="Times New Roman"/>
                <w:b w:val="0"/>
                <w:i w:val="0"/>
                <w:sz w:val="19"/>
                <w:u w:val="none"/>
              </w:rPr>
              <w:t>Informed</w:t>
            </w:r>
          </w:p>
        </w:tc>
        <w:tc>
          <w:tcPr>
            <w:tcW w:type="dxa" w:w="2448"/>
          </w:tcPr>
          <w:p>
            <w:pPr>
              <w:spacing w:after="40"/>
            </w:pPr>
            <w:r/>
            <w:r>
              <w:rPr>
                <w:rFonts w:ascii="Times New Roman" w:hAnsi="Times New Roman" w:cs="Times New Roman"/>
                <w:b w:val="0"/>
                <w:i w:val="0"/>
                <w:sz w:val="19"/>
                <w:u w:val="none"/>
              </w:rPr>
              <w:t>Responsible</w:t>
            </w:r>
          </w:p>
        </w:tc>
      </w:tr>
      <w:tr>
        <w:tc>
          <w:tcPr>
            <w:tcW w:type="dxa" w:w="4320"/>
          </w:tcPr>
          <w:p>
            <w:pPr>
              <w:spacing w:after="40"/>
            </w:pPr>
            <w:r/>
            <w:r>
              <w:rPr>
                <w:rFonts w:ascii="Times New Roman" w:hAnsi="Times New Roman" w:cs="Times New Roman"/>
                <w:b w:val="0"/>
                <w:i w:val="0"/>
                <w:sz w:val="19"/>
                <w:u w:val="none"/>
              </w:rPr>
              <w:t>Data source extraction</w:t>
            </w:r>
          </w:p>
        </w:tc>
        <w:tc>
          <w:tcPr>
            <w:tcW w:type="dxa" w:w="2592"/>
          </w:tcPr>
          <w:p>
            <w:pPr>
              <w:spacing w:after="40"/>
            </w:pPr>
            <w:r/>
            <w:r>
              <w:rPr>
                <w:rFonts w:ascii="Times New Roman" w:hAnsi="Times New Roman" w:cs="Times New Roman"/>
                <w:b w:val="0"/>
                <w:i w:val="0"/>
                <w:sz w:val="19"/>
                <w:u w:val="none"/>
              </w:rPr>
              <w:t>Consulted</w:t>
            </w:r>
          </w:p>
        </w:tc>
        <w:tc>
          <w:tcPr>
            <w:tcW w:type="dxa" w:w="2448"/>
          </w:tcPr>
          <w:p>
            <w:pPr>
              <w:spacing w:after="40"/>
            </w:pPr>
            <w:r/>
            <w:r>
              <w:rPr>
                <w:rFonts w:ascii="Times New Roman" w:hAnsi="Times New Roman" w:cs="Times New Roman"/>
                <w:b w:val="0"/>
                <w:i w:val="0"/>
                <w:sz w:val="19"/>
                <w:u w:val="none"/>
              </w:rPr>
              <w:t>Responsible</w:t>
            </w:r>
          </w:p>
        </w:tc>
      </w:tr>
      <w:tr>
        <w:tc>
          <w:tcPr>
            <w:tcW w:type="dxa" w:w="4320"/>
          </w:tcPr>
          <w:p>
            <w:pPr>
              <w:spacing w:after="40"/>
            </w:pPr>
            <w:r/>
            <w:r>
              <w:rPr>
                <w:rFonts w:ascii="Times New Roman" w:hAnsi="Times New Roman" w:cs="Times New Roman"/>
                <w:b w:val="0"/>
                <w:i w:val="0"/>
                <w:sz w:val="19"/>
                <w:u w:val="none"/>
              </w:rPr>
              <w:t>Data transformation and load</w:t>
            </w:r>
          </w:p>
        </w:tc>
        <w:tc>
          <w:tcPr>
            <w:tcW w:type="dxa" w:w="2592"/>
          </w:tcPr>
          <w:p>
            <w:pPr>
              <w:spacing w:after="40"/>
            </w:pPr>
            <w:r/>
            <w:r>
              <w:rPr>
                <w:rFonts w:ascii="Times New Roman" w:hAnsi="Times New Roman" w:cs="Times New Roman"/>
                <w:b w:val="0"/>
                <w:i w:val="0"/>
                <w:sz w:val="19"/>
                <w:u w:val="none"/>
              </w:rPr>
              <w:t>Accountable</w:t>
            </w:r>
          </w:p>
        </w:tc>
        <w:tc>
          <w:tcPr>
            <w:tcW w:type="dxa" w:w="2448"/>
          </w:tcPr>
          <w:p>
            <w:pPr>
              <w:spacing w:after="40"/>
            </w:pPr>
            <w:r/>
            <w:r>
              <w:rPr>
                <w:rFonts w:ascii="Times New Roman" w:hAnsi="Times New Roman" w:cs="Times New Roman"/>
                <w:b w:val="0"/>
                <w:i w:val="0"/>
                <w:sz w:val="19"/>
                <w:u w:val="none"/>
              </w:rPr>
              <w:t>Consulted</w:t>
            </w:r>
          </w:p>
        </w:tc>
      </w:tr>
      <w:tr>
        <w:tc>
          <w:tcPr>
            <w:tcW w:type="dxa" w:w="4320"/>
          </w:tcPr>
          <w:p>
            <w:pPr>
              <w:spacing w:after="40"/>
            </w:pPr>
            <w:r/>
            <w:r>
              <w:rPr>
                <w:rFonts w:ascii="Times New Roman" w:hAnsi="Times New Roman" w:cs="Times New Roman"/>
                <w:b w:val="0"/>
                <w:i w:val="0"/>
                <w:sz w:val="19"/>
                <w:u w:val="none"/>
              </w:rPr>
              <w:t>Data quality sign-off</w:t>
            </w:r>
          </w:p>
        </w:tc>
        <w:tc>
          <w:tcPr>
            <w:tcW w:type="dxa" w:w="2592"/>
          </w:tcPr>
          <w:p>
            <w:pPr>
              <w:spacing w:after="40"/>
            </w:pPr>
            <w:r/>
            <w:r>
              <w:rPr>
                <w:rFonts w:ascii="Times New Roman" w:hAnsi="Times New Roman" w:cs="Times New Roman"/>
                <w:b w:val="0"/>
                <w:i w:val="0"/>
                <w:sz w:val="19"/>
                <w:u w:val="none"/>
              </w:rPr>
              <w:t>Informed</w:t>
            </w:r>
          </w:p>
        </w:tc>
        <w:tc>
          <w:tcPr>
            <w:tcW w:type="dxa" w:w="2448"/>
          </w:tcPr>
          <w:p>
            <w:pPr>
              <w:spacing w:after="40"/>
            </w:pPr>
            <w:r/>
            <w:r>
              <w:rPr>
                <w:rFonts w:ascii="Times New Roman" w:hAnsi="Times New Roman" w:cs="Times New Roman"/>
                <w:b w:val="0"/>
                <w:i w:val="0"/>
                <w:sz w:val="19"/>
                <w:u w:val="none"/>
              </w:rPr>
              <w:t>Accountable</w:t>
            </w:r>
          </w:p>
        </w:tc>
      </w:tr>
      <w:tr>
        <w:tc>
          <w:tcPr>
            <w:tcW w:type="dxa" w:w="4320"/>
          </w:tcPr>
          <w:p>
            <w:pPr>
              <w:spacing w:after="40"/>
            </w:pPr>
            <w:r/>
            <w:r>
              <w:rPr>
                <w:rFonts w:ascii="Times New Roman" w:hAnsi="Times New Roman" w:cs="Times New Roman"/>
                <w:b w:val="0"/>
                <w:i w:val="0"/>
                <w:sz w:val="19"/>
                <w:u w:val="none"/>
              </w:rPr>
              <w:t>Test script definition</w:t>
            </w:r>
          </w:p>
        </w:tc>
        <w:tc>
          <w:tcPr>
            <w:tcW w:type="dxa" w:w="2592"/>
          </w:tcPr>
          <w:p>
            <w:pPr>
              <w:spacing w:after="40"/>
            </w:pPr>
            <w:r/>
            <w:r>
              <w:rPr>
                <w:rFonts w:ascii="Times New Roman" w:hAnsi="Times New Roman" w:cs="Times New Roman"/>
                <w:b w:val="0"/>
                <w:i w:val="0"/>
                <w:sz w:val="19"/>
                <w:u w:val="none"/>
              </w:rPr>
              <w:t>Responsible</w:t>
            </w:r>
          </w:p>
        </w:tc>
        <w:tc>
          <w:tcPr>
            <w:tcW w:type="dxa" w:w="2448"/>
          </w:tcPr>
          <w:p>
            <w:pPr>
              <w:spacing w:after="40"/>
            </w:pPr>
            <w:r/>
            <w:r>
              <w:rPr>
                <w:rFonts w:ascii="Times New Roman" w:hAnsi="Times New Roman" w:cs="Times New Roman"/>
                <w:b w:val="0"/>
                <w:i w:val="0"/>
                <w:sz w:val="19"/>
                <w:u w:val="none"/>
              </w:rPr>
              <w:t>Accountable</w:t>
            </w:r>
          </w:p>
        </w:tc>
      </w:tr>
      <w:tr>
        <w:tc>
          <w:tcPr>
            <w:tcW w:type="dxa" w:w="4320"/>
          </w:tcPr>
          <w:p>
            <w:pPr>
              <w:spacing w:after="40"/>
            </w:pPr>
            <w:r/>
            <w:r>
              <w:rPr>
                <w:rFonts w:ascii="Times New Roman" w:hAnsi="Times New Roman" w:cs="Times New Roman"/>
                <w:b w:val="0"/>
                <w:i w:val="0"/>
                <w:sz w:val="19"/>
                <w:u w:val="none"/>
              </w:rPr>
              <w:t>User acceptance testing</w:t>
            </w:r>
          </w:p>
        </w:tc>
        <w:tc>
          <w:tcPr>
            <w:tcW w:type="dxa" w:w="2592"/>
          </w:tcPr>
          <w:p>
            <w:pPr>
              <w:spacing w:after="40"/>
            </w:pPr>
            <w:r/>
            <w:r>
              <w:rPr>
                <w:rFonts w:ascii="Times New Roman" w:hAnsi="Times New Roman" w:cs="Times New Roman"/>
                <w:b w:val="0"/>
                <w:i w:val="0"/>
                <w:sz w:val="19"/>
                <w:u w:val="none"/>
              </w:rPr>
              <w:t>Informational</w:t>
            </w:r>
          </w:p>
        </w:tc>
        <w:tc>
          <w:tcPr>
            <w:tcW w:type="dxa" w:w="2448"/>
          </w:tcPr>
          <w:p>
            <w:pPr>
              <w:spacing w:after="40"/>
            </w:pPr>
            <w:r/>
            <w:r>
              <w:rPr>
                <w:rFonts w:ascii="Times New Roman" w:hAnsi="Times New Roman" w:cs="Times New Roman"/>
                <w:b w:val="0"/>
                <w:i w:val="0"/>
                <w:sz w:val="19"/>
                <w:u w:val="none"/>
              </w:rPr>
              <w:t>Accountable</w:t>
            </w:r>
          </w:p>
        </w:tc>
      </w:tr>
      <w:tr>
        <w:tc>
          <w:tcPr>
            <w:tcW w:type="dxa" w:w="4320"/>
          </w:tcPr>
          <w:p>
            <w:pPr>
              <w:spacing w:after="40"/>
            </w:pPr>
            <w:r/>
            <w:r>
              <w:rPr>
                <w:rFonts w:ascii="Times New Roman" w:hAnsi="Times New Roman" w:cs="Times New Roman"/>
                <w:b w:val="0"/>
                <w:i w:val="0"/>
                <w:sz w:val="19"/>
                <w:u w:val="none"/>
              </w:rPr>
              <w:t>Super-user training</w:t>
            </w:r>
          </w:p>
        </w:tc>
        <w:tc>
          <w:tcPr>
            <w:tcW w:type="dxa" w:w="2592"/>
          </w:tcPr>
          <w:p>
            <w:pPr>
              <w:spacing w:after="40"/>
            </w:pPr>
            <w:r/>
            <w:r>
              <w:rPr>
                <w:rFonts w:ascii="Times New Roman" w:hAnsi="Times New Roman" w:cs="Times New Roman"/>
                <w:b w:val="0"/>
                <w:i w:val="0"/>
                <w:sz w:val="19"/>
                <w:u w:val="none"/>
              </w:rPr>
              <w:t>Responsible</w:t>
            </w:r>
          </w:p>
        </w:tc>
        <w:tc>
          <w:tcPr>
            <w:tcW w:type="dxa" w:w="2448"/>
          </w:tcPr>
          <w:p>
            <w:pPr>
              <w:spacing w:after="40"/>
            </w:pPr>
            <w:r/>
            <w:r>
              <w:rPr>
                <w:rFonts w:ascii="Times New Roman" w:hAnsi="Times New Roman" w:cs="Times New Roman"/>
                <w:b w:val="0"/>
                <w:i w:val="0"/>
                <w:sz w:val="19"/>
                <w:u w:val="none"/>
              </w:rPr>
              <w:t>Accountable</w:t>
            </w:r>
          </w:p>
        </w:tc>
      </w:tr>
      <w:tr>
        <w:tc>
          <w:tcPr>
            <w:tcW w:type="dxa" w:w="4320"/>
          </w:tcPr>
          <w:p>
            <w:pPr>
              <w:spacing w:after="40"/>
            </w:pPr>
            <w:r/>
            <w:r>
              <w:rPr>
                <w:rFonts w:ascii="Times New Roman" w:hAnsi="Times New Roman" w:cs="Times New Roman"/>
                <w:b w:val="0"/>
                <w:i w:val="0"/>
                <w:sz w:val="19"/>
                <w:u w:val="none"/>
              </w:rPr>
              <w:t>Hypercare support</w:t>
            </w:r>
          </w:p>
        </w:tc>
        <w:tc>
          <w:tcPr>
            <w:tcW w:type="dxa" w:w="2592"/>
          </w:tcPr>
          <w:p>
            <w:pPr>
              <w:spacing w:after="40"/>
            </w:pPr>
            <w:r/>
            <w:r>
              <w:rPr>
                <w:rFonts w:ascii="Times New Roman" w:hAnsi="Times New Roman" w:cs="Times New Roman"/>
                <w:b w:val="0"/>
                <w:i w:val="0"/>
                <w:sz w:val="19"/>
                <w:u w:val="none"/>
              </w:rPr>
              <w:t>Accountable</w:t>
            </w:r>
          </w:p>
        </w:tc>
        <w:tc>
          <w:tcPr>
            <w:tcW w:type="dxa" w:w="2448"/>
          </w:tcPr>
          <w:p>
            <w:pPr>
              <w:spacing w:after="40"/>
            </w:pPr>
            <w:r/>
            <w:r>
              <w:rPr>
                <w:rFonts w:ascii="Times New Roman" w:hAnsi="Times New Roman" w:cs="Times New Roman"/>
                <w:b w:val="0"/>
                <w:i w:val="0"/>
                <w:sz w:val="19"/>
                <w:u w:val="none"/>
              </w:rPr>
              <w:t>Consulted</w:t>
            </w:r>
          </w:p>
        </w:tc>
      </w:tr>
    </w:tbl>
    <w:p>
      <w:pPr/>
    </w:p>
    <w:p>
      <w:pPr>
        <w:spacing w:before="0" w:after="120" w:line="276" w:lineRule="auto"/>
      </w:pPr>
      <w:r>
        <w:rPr>
          <w:rFonts w:ascii="Times New Roman" w:hAnsi="Times New Roman" w:cs="Times New Roman"/>
          <w:b w:val="0"/>
          <w:i w:val="0"/>
          <w:u w:val="none"/>
        </w:rPr>
        <w:t>The Parties shall operate a weekly project call between the project managers for the duration of the Project. Either Party may escalate a matter to the project sponsors in Part 1 within two working days of it arising, and the sponsors shall meet within five working days of the escalation.</w:t>
      </w:r>
    </w:p>
    <w:p>
      <w:pPr>
        <w:spacing w:before="200" w:after="80" w:line="276" w:lineRule="auto"/>
      </w:pPr>
      <w:r>
        <w:rPr>
          <w:rFonts w:ascii="Calibri" w:hAnsi="Calibri" w:cs="Calibri"/>
          <w:b/>
          <w:i w:val="0"/>
          <w:sz w:val="24"/>
          <w:u w:val="none"/>
        </w:rPr>
        <w:t>Key Personnel</w:t>
      </w:r>
    </w:p>
    <w:p>
      <w:pPr>
        <w:spacing w:before="0" w:after="120" w:line="276" w:lineRule="auto"/>
      </w:pPr>
      <w:r>
        <w:rPr>
          <w:rFonts w:ascii="Times New Roman" w:hAnsi="Times New Roman" w:cs="Times New Roman"/>
          <w:b w:val="0"/>
          <w:i w:val="0"/>
          <w:u w:val="none"/>
        </w:rPr>
        <w:t>The individuals named in this Part 6 shall carry out the roles set out against them for the duration of the Project. Cloudberry may at any time substitute any other individual for any of the individuals named in this Part 6, provided that the substitute has at least equivalent skills, qualifications and experience and Cloudberry has notified Brackenhill in writing of the substitution. Cloudberry shall bear all costs of substitution, including any handover required for continuity.</w:t>
      </w:r>
    </w:p>
    <w:tbl>
      <w:tblPr>
        <w:tblStyle w:val="TableGrid"/>
        <w:tblW w:type="auto" w:w="0"/>
        <w:tblLook w:firstColumn="1" w:firstRow="1" w:lastColumn="0" w:lastRow="0" w:noHBand="0" w:noVBand="1" w:val="04A0"/>
      </w:tblPr>
      <w:tblGrid>
        <w:gridCol w:w="3024"/>
        <w:gridCol w:w="3024"/>
        <w:gridCol w:w="3024"/>
      </w:tblGrid>
      <w:tr>
        <w:tc>
          <w:tcPr>
            <w:tcW w:type="dxa" w:w="2736"/>
          </w:tcPr>
          <w:p>
            <w:pPr>
              <w:spacing w:after="40"/>
            </w:pPr>
            <w:r/>
            <w:r>
              <w:rPr>
                <w:rFonts w:ascii="Times New Roman" w:hAnsi="Times New Roman" w:cs="Times New Roman"/>
                <w:b/>
                <w:i w:val="0"/>
                <w:sz w:val="19"/>
                <w:u w:val="none"/>
              </w:rPr>
              <w:t>Role</w:t>
            </w:r>
          </w:p>
        </w:tc>
        <w:tc>
          <w:tcPr>
            <w:tcW w:type="dxa" w:w="2880"/>
          </w:tcPr>
          <w:p>
            <w:pPr>
              <w:spacing w:after="40"/>
            </w:pPr>
            <w:r/>
            <w:r>
              <w:rPr>
                <w:rFonts w:ascii="Times New Roman" w:hAnsi="Times New Roman" w:cs="Times New Roman"/>
                <w:b/>
                <w:i w:val="0"/>
                <w:sz w:val="19"/>
                <w:u w:val="none"/>
              </w:rPr>
              <w:t>Named individual</w:t>
            </w:r>
          </w:p>
        </w:tc>
        <w:tc>
          <w:tcPr>
            <w:tcW w:type="dxa" w:w="3744"/>
          </w:tcPr>
          <w:p>
            <w:pPr>
              <w:spacing w:after="40"/>
            </w:pPr>
            <w:r/>
            <w:r>
              <w:rPr>
                <w:rFonts w:ascii="Times New Roman" w:hAnsi="Times New Roman" w:cs="Times New Roman"/>
                <w:b/>
                <w:i w:val="0"/>
                <w:sz w:val="19"/>
                <w:u w:val="none"/>
              </w:rPr>
              <w:t>Commitment</w:t>
            </w:r>
          </w:p>
        </w:tc>
      </w:tr>
      <w:tr>
        <w:tc>
          <w:tcPr>
            <w:tcW w:type="dxa" w:w="2736"/>
          </w:tcPr>
          <w:p>
            <w:pPr>
              <w:spacing w:after="40"/>
            </w:pPr>
            <w:r/>
            <w:r>
              <w:rPr>
                <w:rFonts w:ascii="Times New Roman" w:hAnsi="Times New Roman" w:cs="Times New Roman"/>
                <w:b w:val="0"/>
                <w:i w:val="0"/>
                <w:sz w:val="19"/>
                <w:u w:val="none"/>
              </w:rPr>
              <w:t>Engagement lead</w:t>
            </w:r>
          </w:p>
        </w:tc>
        <w:tc>
          <w:tcPr>
            <w:tcW w:type="dxa" w:w="2880"/>
          </w:tcPr>
          <w:p>
            <w:pPr>
              <w:spacing w:after="40"/>
            </w:pPr>
            <w:r/>
            <w:r>
              <w:rPr>
                <w:rFonts w:ascii="Times New Roman" w:hAnsi="Times New Roman" w:cs="Times New Roman"/>
                <w:b w:val="0"/>
                <w:i w:val="0"/>
                <w:sz w:val="19"/>
                <w:u w:val="none"/>
              </w:rPr>
              <w:t>Fionnuala Deveraux</w:t>
            </w:r>
          </w:p>
        </w:tc>
        <w:tc>
          <w:tcPr>
            <w:tcW w:type="dxa" w:w="3744"/>
          </w:tcPr>
          <w:p>
            <w:pPr>
              <w:spacing w:after="40"/>
            </w:pPr>
            <w:r/>
            <w:r>
              <w:rPr>
                <w:rFonts w:ascii="Times New Roman" w:hAnsi="Times New Roman" w:cs="Times New Roman"/>
                <w:b w:val="0"/>
                <w:i w:val="0"/>
                <w:sz w:val="19"/>
                <w:u w:val="none"/>
              </w:rPr>
              <w:t>2 days per week</w:t>
            </w:r>
          </w:p>
        </w:tc>
      </w:tr>
      <w:tr>
        <w:tc>
          <w:tcPr>
            <w:tcW w:type="dxa" w:w="2736"/>
          </w:tcPr>
          <w:p>
            <w:pPr>
              <w:spacing w:after="40"/>
            </w:pPr>
            <w:r/>
            <w:r>
              <w:rPr>
                <w:rFonts w:ascii="Times New Roman" w:hAnsi="Times New Roman" w:cs="Times New Roman"/>
                <w:b w:val="0"/>
                <w:i w:val="0"/>
                <w:sz w:val="19"/>
                <w:u w:val="none"/>
              </w:rPr>
              <w:t>Solution architect</w:t>
            </w:r>
          </w:p>
        </w:tc>
        <w:tc>
          <w:tcPr>
            <w:tcW w:type="dxa" w:w="2880"/>
          </w:tcPr>
          <w:p>
            <w:pPr>
              <w:spacing w:after="40"/>
            </w:pPr>
            <w:r/>
            <w:r>
              <w:rPr>
                <w:rFonts w:ascii="Times New Roman" w:hAnsi="Times New Roman" w:cs="Times New Roman"/>
                <w:b w:val="0"/>
                <w:i w:val="0"/>
                <w:sz w:val="19"/>
                <w:u w:val="none"/>
              </w:rPr>
              <w:t>Rahul Menon</w:t>
            </w:r>
          </w:p>
        </w:tc>
        <w:tc>
          <w:tcPr>
            <w:tcW w:type="dxa" w:w="3744"/>
          </w:tcPr>
          <w:p>
            <w:pPr>
              <w:spacing w:after="40"/>
            </w:pPr>
            <w:r/>
            <w:r>
              <w:rPr>
                <w:rFonts w:ascii="Times New Roman" w:hAnsi="Times New Roman" w:cs="Times New Roman"/>
                <w:b w:val="0"/>
                <w:i w:val="0"/>
                <w:sz w:val="19"/>
                <w:u w:val="none"/>
              </w:rPr>
              <w:t>3 days per week</w:t>
            </w:r>
          </w:p>
        </w:tc>
      </w:tr>
      <w:tr>
        <w:tc>
          <w:tcPr>
            <w:tcW w:type="dxa" w:w="2736"/>
          </w:tcPr>
          <w:p>
            <w:pPr>
              <w:spacing w:after="40"/>
            </w:pPr>
            <w:r/>
            <w:r>
              <w:rPr>
                <w:rFonts w:ascii="Times New Roman" w:hAnsi="Times New Roman" w:cs="Times New Roman"/>
                <w:b w:val="0"/>
                <w:i w:val="0"/>
                <w:sz w:val="19"/>
                <w:u w:val="none"/>
              </w:rPr>
              <w:t>Data migration lead</w:t>
            </w:r>
          </w:p>
        </w:tc>
        <w:tc>
          <w:tcPr>
            <w:tcW w:type="dxa" w:w="2880"/>
          </w:tcPr>
          <w:p>
            <w:pPr>
              <w:spacing w:after="40"/>
            </w:pPr>
            <w:r/>
            <w:r>
              <w:rPr>
                <w:rFonts w:ascii="Times New Roman" w:hAnsi="Times New Roman" w:cs="Times New Roman"/>
                <w:b w:val="0"/>
                <w:i w:val="0"/>
                <w:sz w:val="19"/>
                <w:u w:val="none"/>
              </w:rPr>
              <w:t>Cillian Ó Braonáin</w:t>
            </w:r>
          </w:p>
        </w:tc>
        <w:tc>
          <w:tcPr>
            <w:tcW w:type="dxa" w:w="3744"/>
          </w:tcPr>
          <w:p>
            <w:pPr>
              <w:spacing w:after="40"/>
            </w:pPr>
            <w:r/>
            <w:r>
              <w:rPr>
                <w:rFonts w:ascii="Times New Roman" w:hAnsi="Times New Roman" w:cs="Times New Roman"/>
                <w:b w:val="0"/>
                <w:i w:val="0"/>
                <w:sz w:val="19"/>
                <w:u w:val="none"/>
              </w:rPr>
              <w:t>Full time from M2 to M4</w:t>
            </w:r>
          </w:p>
        </w:tc>
      </w:tr>
      <w:tr>
        <w:tc>
          <w:tcPr>
            <w:tcW w:type="dxa" w:w="2736"/>
          </w:tcPr>
          <w:p>
            <w:pPr>
              <w:spacing w:after="40"/>
            </w:pPr>
            <w:r/>
            <w:r>
              <w:rPr>
                <w:rFonts w:ascii="Times New Roman" w:hAnsi="Times New Roman" w:cs="Times New Roman"/>
                <w:b w:val="0"/>
                <w:i w:val="0"/>
                <w:sz w:val="19"/>
                <w:u w:val="none"/>
              </w:rPr>
              <w:t>Integration engineer</w:t>
            </w:r>
          </w:p>
        </w:tc>
        <w:tc>
          <w:tcPr>
            <w:tcW w:type="dxa" w:w="2880"/>
          </w:tcPr>
          <w:p>
            <w:pPr>
              <w:spacing w:after="40"/>
            </w:pPr>
            <w:r/>
            <w:r>
              <w:rPr>
                <w:rFonts w:ascii="Times New Roman" w:hAnsi="Times New Roman" w:cs="Times New Roman"/>
                <w:b w:val="0"/>
                <w:i w:val="0"/>
                <w:sz w:val="19"/>
                <w:u w:val="none"/>
              </w:rPr>
              <w:t>Siobhan Kelleher</w:t>
            </w:r>
          </w:p>
        </w:tc>
        <w:tc>
          <w:tcPr>
            <w:tcW w:type="dxa" w:w="3744"/>
          </w:tcPr>
          <w:p>
            <w:pPr>
              <w:spacing w:after="40"/>
            </w:pPr>
            <w:r/>
            <w:r>
              <w:rPr>
                <w:rFonts w:ascii="Times New Roman" w:hAnsi="Times New Roman" w:cs="Times New Roman"/>
                <w:b w:val="0"/>
                <w:i w:val="0"/>
                <w:sz w:val="19"/>
                <w:u w:val="none"/>
              </w:rPr>
              <w:t>Full time from M3 to M5</w:t>
            </w:r>
          </w:p>
        </w:tc>
      </w:tr>
      <w:tr>
        <w:tc>
          <w:tcPr>
            <w:tcW w:type="dxa" w:w="2736"/>
          </w:tcPr>
          <w:p>
            <w:pPr>
              <w:spacing w:after="40"/>
            </w:pPr>
            <w:r/>
            <w:r>
              <w:rPr>
                <w:rFonts w:ascii="Times New Roman" w:hAnsi="Times New Roman" w:cs="Times New Roman"/>
                <w:b w:val="0"/>
                <w:i w:val="0"/>
                <w:sz w:val="19"/>
                <w:u w:val="none"/>
              </w:rPr>
              <w:t>Reporting lead</w:t>
            </w:r>
          </w:p>
        </w:tc>
        <w:tc>
          <w:tcPr>
            <w:tcW w:type="dxa" w:w="2880"/>
          </w:tcPr>
          <w:p>
            <w:pPr>
              <w:spacing w:after="40"/>
            </w:pPr>
            <w:r/>
            <w:r>
              <w:rPr>
                <w:rFonts w:ascii="Times New Roman" w:hAnsi="Times New Roman" w:cs="Times New Roman"/>
                <w:b w:val="0"/>
                <w:i w:val="0"/>
                <w:sz w:val="19"/>
                <w:u w:val="none"/>
              </w:rPr>
              <w:t>Ana-Maria Dinescu</w:t>
            </w:r>
          </w:p>
        </w:tc>
        <w:tc>
          <w:tcPr>
            <w:tcW w:type="dxa" w:w="3744"/>
          </w:tcPr>
          <w:p>
            <w:pPr>
              <w:spacing w:after="40"/>
            </w:pPr>
            <w:r/>
            <w:r>
              <w:rPr>
                <w:rFonts w:ascii="Times New Roman" w:hAnsi="Times New Roman" w:cs="Times New Roman"/>
                <w:b w:val="0"/>
                <w:i w:val="0"/>
                <w:sz w:val="19"/>
                <w:u w:val="none"/>
              </w:rPr>
              <w:t>2 days per week</w:t>
            </w:r>
          </w:p>
        </w:tc>
      </w:tr>
    </w:tbl>
    <w:p>
      <w:pPr/>
    </w:p>
    <w:p>
      <w:pPr>
        <w:spacing w:before="200" w:after="80" w:line="276" w:lineRule="auto"/>
      </w:pPr>
      <w:r>
        <w:rPr>
          <w:rFonts w:ascii="Calibri" w:hAnsi="Calibri" w:cs="Calibri"/>
          <w:b/>
          <w:i w:val="0"/>
          <w:sz w:val="24"/>
          <w:u w:val="none"/>
        </w:rPr>
        <w:t>Super-Users and Training</w:t>
      </w:r>
    </w:p>
    <w:tbl>
      <w:tblPr>
        <w:tblStyle w:val="TableGrid"/>
        <w:tblW w:type="auto" w:w="0"/>
        <w:tblLook w:firstColumn="1" w:firstRow="1" w:lastColumn="0" w:lastRow="0" w:noHBand="0" w:noVBand="1" w:val="04A0"/>
      </w:tblPr>
      <w:tblGrid>
        <w:gridCol w:w="3024"/>
        <w:gridCol w:w="3024"/>
        <w:gridCol w:w="3024"/>
      </w:tblGrid>
      <w:tr>
        <w:tc>
          <w:tcPr>
            <w:tcW w:type="dxa" w:w="3168"/>
          </w:tcPr>
          <w:p>
            <w:pPr>
              <w:spacing w:after="40"/>
            </w:pPr>
            <w:r/>
            <w:r>
              <w:rPr>
                <w:rFonts w:ascii="Times New Roman" w:hAnsi="Times New Roman" w:cs="Times New Roman"/>
                <w:b/>
                <w:i w:val="0"/>
                <w:sz w:val="19"/>
                <w:u w:val="none"/>
              </w:rPr>
              <w:t>Region</w:t>
            </w:r>
          </w:p>
        </w:tc>
        <w:tc>
          <w:tcPr>
            <w:tcW w:type="dxa" w:w="2880"/>
          </w:tcPr>
          <w:p>
            <w:pPr>
              <w:spacing w:after="40"/>
            </w:pPr>
            <w:r/>
            <w:r>
              <w:rPr>
                <w:rFonts w:ascii="Times New Roman" w:hAnsi="Times New Roman" w:cs="Times New Roman"/>
                <w:b/>
                <w:i w:val="0"/>
                <w:sz w:val="19"/>
                <w:u w:val="none"/>
              </w:rPr>
              <w:t>Number of Super-Users</w:t>
            </w:r>
          </w:p>
        </w:tc>
        <w:tc>
          <w:tcPr>
            <w:tcW w:type="dxa" w:w="3312"/>
          </w:tcPr>
          <w:p>
            <w:pPr>
              <w:spacing w:after="40"/>
            </w:pPr>
            <w:r/>
            <w:r>
              <w:rPr>
                <w:rFonts w:ascii="Times New Roman" w:hAnsi="Times New Roman" w:cs="Times New Roman"/>
                <w:b/>
                <w:i w:val="0"/>
                <w:sz w:val="19"/>
                <w:u w:val="none"/>
              </w:rPr>
              <w:t>Delivery mode</w:t>
            </w:r>
          </w:p>
        </w:tc>
      </w:tr>
      <w:tr>
        <w:tc>
          <w:tcPr>
            <w:tcW w:type="dxa" w:w="3168"/>
          </w:tcPr>
          <w:p>
            <w:pPr>
              <w:spacing w:after="40"/>
            </w:pPr>
            <w:r/>
            <w:r>
              <w:rPr>
                <w:rFonts w:ascii="Times New Roman" w:hAnsi="Times New Roman" w:cs="Times New Roman"/>
                <w:b w:val="0"/>
                <w:i w:val="0"/>
                <w:sz w:val="19"/>
                <w:u w:val="none"/>
              </w:rPr>
              <w:t>North</w:t>
            </w:r>
          </w:p>
        </w:tc>
        <w:tc>
          <w:tcPr>
            <w:tcW w:type="dxa" w:w="2880"/>
          </w:tcPr>
          <w:p>
            <w:pPr>
              <w:spacing w:after="40"/>
            </w:pPr>
            <w:r/>
            <w:r>
              <w:rPr>
                <w:rFonts w:ascii="Times New Roman" w:hAnsi="Times New Roman" w:cs="Times New Roman"/>
                <w:b w:val="0"/>
                <w:i w:val="0"/>
                <w:sz w:val="19"/>
                <w:u w:val="none"/>
              </w:rPr>
              <w:t>9</w:t>
            </w:r>
          </w:p>
        </w:tc>
        <w:tc>
          <w:tcPr>
            <w:tcW w:type="dxa" w:w="3312"/>
          </w:tcPr>
          <w:p>
            <w:pPr>
              <w:spacing w:after="40"/>
            </w:pPr>
            <w:r/>
            <w:r>
              <w:rPr>
                <w:rFonts w:ascii="Times New Roman" w:hAnsi="Times New Roman" w:cs="Times New Roman"/>
                <w:b w:val="0"/>
                <w:i w:val="0"/>
                <w:sz w:val="19"/>
                <w:u w:val="none"/>
              </w:rPr>
              <w:t>Remote, four sessions</w:t>
            </w:r>
          </w:p>
        </w:tc>
      </w:tr>
      <w:tr>
        <w:tc>
          <w:tcPr>
            <w:tcW w:type="dxa" w:w="3168"/>
          </w:tcPr>
          <w:p>
            <w:pPr>
              <w:spacing w:after="40"/>
            </w:pPr>
            <w:r/>
            <w:r>
              <w:rPr>
                <w:rFonts w:ascii="Times New Roman" w:hAnsi="Times New Roman" w:cs="Times New Roman"/>
                <w:b w:val="0"/>
                <w:i w:val="0"/>
                <w:sz w:val="19"/>
                <w:u w:val="none"/>
              </w:rPr>
              <w:t>Midlands and South</w:t>
            </w:r>
          </w:p>
        </w:tc>
        <w:tc>
          <w:tcPr>
            <w:tcW w:type="dxa" w:w="2880"/>
          </w:tcPr>
          <w:p>
            <w:pPr>
              <w:spacing w:after="40"/>
            </w:pPr>
            <w:r/>
            <w:r>
              <w:rPr>
                <w:rFonts w:ascii="Times New Roman" w:hAnsi="Times New Roman" w:cs="Times New Roman"/>
                <w:b w:val="0"/>
                <w:i w:val="0"/>
                <w:sz w:val="19"/>
                <w:u w:val="none"/>
              </w:rPr>
              <w:t>12</w:t>
            </w:r>
          </w:p>
        </w:tc>
        <w:tc>
          <w:tcPr>
            <w:tcW w:type="dxa" w:w="3312"/>
          </w:tcPr>
          <w:p>
            <w:pPr>
              <w:spacing w:after="40"/>
            </w:pPr>
            <w:r/>
            <w:r>
              <w:rPr>
                <w:rFonts w:ascii="Times New Roman" w:hAnsi="Times New Roman" w:cs="Times New Roman"/>
                <w:b w:val="0"/>
                <w:i w:val="0"/>
                <w:sz w:val="19"/>
                <w:u w:val="none"/>
              </w:rPr>
              <w:t>Remote, six sessions</w:t>
            </w:r>
          </w:p>
        </w:tc>
      </w:tr>
      <w:tr>
        <w:tc>
          <w:tcPr>
            <w:tcW w:type="dxa" w:w="3168"/>
          </w:tcPr>
          <w:p>
            <w:pPr>
              <w:spacing w:after="40"/>
            </w:pPr>
            <w:r/>
            <w:r>
              <w:rPr>
                <w:rFonts w:ascii="Times New Roman" w:hAnsi="Times New Roman" w:cs="Times New Roman"/>
                <w:b w:val="0"/>
                <w:i w:val="0"/>
                <w:sz w:val="19"/>
                <w:u w:val="none"/>
              </w:rPr>
              <w:t>Scotland and North West</w:t>
            </w:r>
          </w:p>
        </w:tc>
        <w:tc>
          <w:tcPr>
            <w:tcW w:type="dxa" w:w="2880"/>
          </w:tcPr>
          <w:p>
            <w:pPr>
              <w:spacing w:after="40"/>
            </w:pPr>
            <w:r/>
            <w:r>
              <w:rPr>
                <w:rFonts w:ascii="Times New Roman" w:hAnsi="Times New Roman" w:cs="Times New Roman"/>
                <w:b w:val="0"/>
                <w:i w:val="0"/>
                <w:sz w:val="19"/>
                <w:u w:val="none"/>
              </w:rPr>
              <w:t>7</w:t>
            </w:r>
          </w:p>
        </w:tc>
        <w:tc>
          <w:tcPr>
            <w:tcW w:type="dxa" w:w="3312"/>
          </w:tcPr>
          <w:p>
            <w:pPr>
              <w:spacing w:after="40"/>
            </w:pPr>
            <w:r/>
            <w:r>
              <w:rPr>
                <w:rFonts w:ascii="Times New Roman" w:hAnsi="Times New Roman" w:cs="Times New Roman"/>
                <w:b w:val="0"/>
                <w:i w:val="0"/>
                <w:sz w:val="19"/>
                <w:u w:val="none"/>
              </w:rPr>
              <w:t>Remote, four sessions</w:t>
            </w:r>
          </w:p>
        </w:tc>
      </w:tr>
      <w:tr>
        <w:tc>
          <w:tcPr>
            <w:tcW w:type="dxa" w:w="3168"/>
          </w:tcPr>
          <w:p>
            <w:pPr>
              <w:spacing w:after="40"/>
            </w:pPr>
            <w:r/>
            <w:r>
              <w:rPr>
                <w:rFonts w:ascii="Times New Roman" w:hAnsi="Times New Roman" w:cs="Times New Roman"/>
                <w:b w:val="0"/>
                <w:i w:val="0"/>
                <w:sz w:val="19"/>
                <w:u w:val="none"/>
              </w:rPr>
              <w:t>Ireland</w:t>
            </w:r>
          </w:p>
        </w:tc>
        <w:tc>
          <w:tcPr>
            <w:tcW w:type="dxa" w:w="2880"/>
          </w:tcPr>
          <w:p>
            <w:pPr>
              <w:spacing w:after="40"/>
            </w:pPr>
            <w:r/>
            <w:r>
              <w:rPr>
                <w:rFonts w:ascii="Times New Roman" w:hAnsi="Times New Roman" w:cs="Times New Roman"/>
                <w:b w:val="0"/>
                <w:i w:val="0"/>
                <w:sz w:val="19"/>
                <w:u w:val="none"/>
              </w:rPr>
              <w:t>5</w:t>
            </w:r>
          </w:p>
        </w:tc>
        <w:tc>
          <w:tcPr>
            <w:tcW w:type="dxa" w:w="3312"/>
          </w:tcPr>
          <w:p>
            <w:pPr>
              <w:spacing w:after="40"/>
            </w:pPr>
            <w:r/>
            <w:r>
              <w:rPr>
                <w:rFonts w:ascii="Times New Roman" w:hAnsi="Times New Roman" w:cs="Times New Roman"/>
                <w:b w:val="0"/>
                <w:i w:val="0"/>
                <w:sz w:val="19"/>
                <w:u w:val="none"/>
              </w:rPr>
              <w:t>On site, two sessions</w:t>
            </w:r>
          </w:p>
        </w:tc>
      </w:tr>
      <w:tr>
        <w:tc>
          <w:tcPr>
            <w:tcW w:type="dxa" w:w="3168"/>
          </w:tcPr>
          <w:p>
            <w:pPr>
              <w:spacing w:after="40"/>
            </w:pPr>
            <w:r/>
            <w:r>
              <w:rPr>
                <w:rFonts w:ascii="Times New Roman" w:hAnsi="Times New Roman" w:cs="Times New Roman"/>
                <w:b w:val="0"/>
                <w:i w:val="0"/>
                <w:sz w:val="19"/>
                <w:u w:val="none"/>
              </w:rPr>
              <w:t>Online trading</w:t>
            </w:r>
          </w:p>
        </w:tc>
        <w:tc>
          <w:tcPr>
            <w:tcW w:type="dxa" w:w="2880"/>
          </w:tcPr>
          <w:p>
            <w:pPr>
              <w:spacing w:after="40"/>
            </w:pPr>
            <w:r/>
            <w:r>
              <w:rPr>
                <w:rFonts w:ascii="Times New Roman" w:hAnsi="Times New Roman" w:cs="Times New Roman"/>
                <w:b w:val="0"/>
                <w:i w:val="0"/>
                <w:sz w:val="19"/>
                <w:u w:val="none"/>
              </w:rPr>
              <w:t>6</w:t>
            </w:r>
          </w:p>
        </w:tc>
        <w:tc>
          <w:tcPr>
            <w:tcW w:type="dxa" w:w="3312"/>
          </w:tcPr>
          <w:p>
            <w:pPr>
              <w:spacing w:after="40"/>
            </w:pPr>
            <w:r/>
            <w:r>
              <w:rPr>
                <w:rFonts w:ascii="Times New Roman" w:hAnsi="Times New Roman" w:cs="Times New Roman"/>
                <w:b w:val="0"/>
                <w:i w:val="0"/>
                <w:sz w:val="19"/>
                <w:u w:val="none"/>
              </w:rPr>
              <w:t>Remote, three sessions</w:t>
            </w:r>
          </w:p>
        </w:tc>
      </w:tr>
    </w:tbl>
    <w:p>
      <w:pPr/>
    </w:p>
    <w:p>
      <w:pPr>
        <w:spacing w:before="0" w:after="120" w:line="276" w:lineRule="auto"/>
      </w:pPr>
      <w:r>
        <w:rPr>
          <w:rFonts w:ascii="Times New Roman" w:hAnsi="Times New Roman" w:cs="Times New Roman"/>
          <w:b w:val="0"/>
          <w:i w:val="0"/>
          <w:u w:val="none"/>
        </w:rPr>
        <w:t>Cloudberry shall provide training materials in electronic format and shall record attendance. Training materials remain Brackenhill's property on delivery.</w:t>
      </w:r>
    </w:p>
    <w:p>
      <w:pPr>
        <w:spacing w:before="200" w:after="80" w:line="276" w:lineRule="auto"/>
      </w:pPr>
      <w:r>
        <w:rPr>
          <w:rFonts w:ascii="Calibri" w:hAnsi="Calibri" w:cs="Calibri"/>
          <w:b/>
          <w:i w:val="0"/>
          <w:sz w:val="24"/>
          <w:u w:val="none"/>
        </w:rPr>
        <w:t>Assumptions and Dependencies</w:t>
      </w:r>
    </w:p>
    <w:tbl>
      <w:tblPr>
        <w:tblStyle w:val="TableGrid"/>
        <w:tblW w:type="auto" w:w="0"/>
        <w:tblLook w:firstColumn="1" w:firstRow="1" w:lastColumn="0" w:lastRow="0" w:noHBand="0" w:noVBand="1" w:val="04A0"/>
      </w:tblPr>
      <w:tblGrid>
        <w:gridCol w:w="3024"/>
        <w:gridCol w:w="3024"/>
        <w:gridCol w:w="3024"/>
      </w:tblGrid>
      <w:tr>
        <w:tc>
          <w:tcPr>
            <w:tcW w:type="dxa" w:w="864"/>
          </w:tcPr>
          <w:p>
            <w:pPr>
              <w:spacing w:after="40"/>
            </w:pPr>
            <w:r/>
            <w:r>
              <w:rPr>
                <w:rFonts w:ascii="Times New Roman" w:hAnsi="Times New Roman" w:cs="Times New Roman"/>
                <w:b/>
                <w:i w:val="0"/>
                <w:sz w:val="19"/>
                <w:u w:val="none"/>
              </w:rPr>
              <w:t>Ref</w:t>
            </w:r>
          </w:p>
        </w:tc>
        <w:tc>
          <w:tcPr>
            <w:tcW w:type="dxa" w:w="6480"/>
          </w:tcPr>
          <w:p>
            <w:pPr>
              <w:spacing w:after="40"/>
            </w:pPr>
            <w:r/>
            <w:r>
              <w:rPr>
                <w:rFonts w:ascii="Times New Roman" w:hAnsi="Times New Roman" w:cs="Times New Roman"/>
                <w:b/>
                <w:i w:val="0"/>
                <w:sz w:val="19"/>
                <w:u w:val="none"/>
              </w:rPr>
              <w:t>Assumption or dependency</w:t>
            </w:r>
          </w:p>
        </w:tc>
        <w:tc>
          <w:tcPr>
            <w:tcW w:type="dxa" w:w="2016"/>
          </w:tcPr>
          <w:p>
            <w:pPr>
              <w:spacing w:after="40"/>
            </w:pPr>
            <w:r/>
            <w:r>
              <w:rPr>
                <w:rFonts w:ascii="Times New Roman" w:hAnsi="Times New Roman" w:cs="Times New Roman"/>
                <w:b/>
                <w:i w:val="0"/>
                <w:sz w:val="19"/>
                <w:u w:val="none"/>
              </w:rPr>
              <w:t>Owner</w:t>
            </w:r>
          </w:p>
        </w:tc>
      </w:tr>
      <w:tr>
        <w:tc>
          <w:tcPr>
            <w:tcW w:type="dxa" w:w="864"/>
          </w:tcPr>
          <w:p>
            <w:pPr>
              <w:spacing w:after="40"/>
            </w:pPr>
            <w:r/>
            <w:r>
              <w:rPr>
                <w:rFonts w:ascii="Times New Roman" w:hAnsi="Times New Roman" w:cs="Times New Roman"/>
                <w:b w:val="0"/>
                <w:i w:val="0"/>
                <w:sz w:val="19"/>
                <w:u w:val="none"/>
              </w:rPr>
              <w:t>A1</w:t>
            </w:r>
          </w:p>
        </w:tc>
        <w:tc>
          <w:tcPr>
            <w:tcW w:type="dxa" w:w="6480"/>
          </w:tcPr>
          <w:p>
            <w:pPr>
              <w:spacing w:after="40"/>
            </w:pPr>
            <w:r/>
            <w:r>
              <w:rPr>
                <w:rFonts w:ascii="Times New Roman" w:hAnsi="Times New Roman" w:cs="Times New Roman"/>
                <w:b w:val="0"/>
                <w:i w:val="0"/>
                <w:sz w:val="19"/>
                <w:u w:val="none"/>
              </w:rPr>
              <w:t>Brackenhill provides access to systems and data within 5 working days of request</w:t>
            </w:r>
          </w:p>
        </w:tc>
        <w:tc>
          <w:tcPr>
            <w:tcW w:type="dxa" w:w="2016"/>
          </w:tcPr>
          <w:p>
            <w:pPr>
              <w:spacing w:after="40"/>
            </w:pPr>
            <w:r/>
            <w:r>
              <w:rPr>
                <w:rFonts w:ascii="Times New Roman" w:hAnsi="Times New Roman" w:cs="Times New Roman"/>
                <w:b w:val="0"/>
                <w:i w:val="0"/>
                <w:sz w:val="19"/>
                <w:u w:val="none"/>
              </w:rPr>
              <w:t>Brackenhill</w:t>
            </w:r>
          </w:p>
        </w:tc>
      </w:tr>
      <w:tr>
        <w:tc>
          <w:tcPr>
            <w:tcW w:type="dxa" w:w="864"/>
          </w:tcPr>
          <w:p>
            <w:pPr>
              <w:spacing w:after="40"/>
            </w:pPr>
            <w:r/>
            <w:r>
              <w:rPr>
                <w:rFonts w:ascii="Times New Roman" w:hAnsi="Times New Roman" w:cs="Times New Roman"/>
                <w:b w:val="0"/>
                <w:i w:val="0"/>
                <w:sz w:val="19"/>
                <w:u w:val="none"/>
              </w:rPr>
              <w:t>A2</w:t>
            </w:r>
          </w:p>
        </w:tc>
        <w:tc>
          <w:tcPr>
            <w:tcW w:type="dxa" w:w="6480"/>
          </w:tcPr>
          <w:p>
            <w:pPr>
              <w:spacing w:after="40"/>
            </w:pPr>
            <w:r/>
            <w:r>
              <w:rPr>
                <w:rFonts w:ascii="Times New Roman" w:hAnsi="Times New Roman" w:cs="Times New Roman"/>
                <w:b w:val="0"/>
                <w:i w:val="0"/>
                <w:sz w:val="19"/>
                <w:u w:val="none"/>
              </w:rPr>
              <w:t>Brackenhill's subject matter experts are available for 4 hours per week</w:t>
            </w:r>
          </w:p>
        </w:tc>
        <w:tc>
          <w:tcPr>
            <w:tcW w:type="dxa" w:w="2016"/>
          </w:tcPr>
          <w:p>
            <w:pPr>
              <w:spacing w:after="40"/>
            </w:pPr>
            <w:r/>
            <w:r>
              <w:rPr>
                <w:rFonts w:ascii="Times New Roman" w:hAnsi="Times New Roman" w:cs="Times New Roman"/>
                <w:b w:val="0"/>
                <w:i w:val="0"/>
                <w:sz w:val="19"/>
                <w:u w:val="none"/>
              </w:rPr>
              <w:t>Brackenhill</w:t>
            </w:r>
          </w:p>
        </w:tc>
      </w:tr>
      <w:tr>
        <w:tc>
          <w:tcPr>
            <w:tcW w:type="dxa" w:w="864"/>
          </w:tcPr>
          <w:p>
            <w:pPr>
              <w:spacing w:after="40"/>
            </w:pPr>
            <w:r/>
            <w:r>
              <w:rPr>
                <w:rFonts w:ascii="Times New Roman" w:hAnsi="Times New Roman" w:cs="Times New Roman"/>
                <w:b w:val="0"/>
                <w:i w:val="0"/>
                <w:sz w:val="19"/>
                <w:u w:val="none"/>
              </w:rPr>
              <w:t>A3</w:t>
            </w:r>
          </w:p>
        </w:tc>
        <w:tc>
          <w:tcPr>
            <w:tcW w:type="dxa" w:w="6480"/>
          </w:tcPr>
          <w:p>
            <w:pPr>
              <w:spacing w:after="40"/>
            </w:pPr>
            <w:r/>
            <w:r>
              <w:rPr>
                <w:rFonts w:ascii="Times New Roman" w:hAnsi="Times New Roman" w:cs="Times New Roman"/>
                <w:b w:val="0"/>
                <w:i w:val="0"/>
                <w:sz w:val="19"/>
                <w:u w:val="none"/>
              </w:rPr>
              <w:t>Source data is delivered in the format agreed in the data specification signed with the Master Services Agreement</w:t>
            </w:r>
          </w:p>
        </w:tc>
        <w:tc>
          <w:tcPr>
            <w:tcW w:type="dxa" w:w="2016"/>
          </w:tcPr>
          <w:p>
            <w:pPr>
              <w:spacing w:after="40"/>
            </w:pPr>
            <w:r/>
            <w:r>
              <w:rPr>
                <w:rFonts w:ascii="Times New Roman" w:hAnsi="Times New Roman" w:cs="Times New Roman"/>
                <w:b w:val="0"/>
                <w:i w:val="0"/>
                <w:sz w:val="19"/>
                <w:u w:val="none"/>
              </w:rPr>
              <w:t>Brackenhill</w:t>
            </w:r>
          </w:p>
        </w:tc>
      </w:tr>
      <w:tr>
        <w:tc>
          <w:tcPr>
            <w:tcW w:type="dxa" w:w="864"/>
          </w:tcPr>
          <w:p>
            <w:pPr>
              <w:spacing w:after="40"/>
            </w:pPr>
            <w:r/>
            <w:r>
              <w:rPr>
                <w:rFonts w:ascii="Times New Roman" w:hAnsi="Times New Roman" w:cs="Times New Roman"/>
                <w:b w:val="0"/>
                <w:i w:val="0"/>
                <w:sz w:val="19"/>
                <w:u w:val="none"/>
              </w:rPr>
              <w:t>A4</w:t>
            </w:r>
          </w:p>
        </w:tc>
        <w:tc>
          <w:tcPr>
            <w:tcW w:type="dxa" w:w="6480"/>
          </w:tcPr>
          <w:p>
            <w:pPr>
              <w:spacing w:after="40"/>
            </w:pPr>
            <w:r/>
            <w:r>
              <w:rPr>
                <w:rFonts w:ascii="Times New Roman" w:hAnsi="Times New Roman" w:cs="Times New Roman"/>
                <w:b w:val="0"/>
                <w:i w:val="0"/>
                <w:sz w:val="19"/>
                <w:u w:val="none"/>
              </w:rPr>
              <w:t>Store network connectivity is available at each rollout site</w:t>
            </w:r>
          </w:p>
        </w:tc>
        <w:tc>
          <w:tcPr>
            <w:tcW w:type="dxa" w:w="2016"/>
          </w:tcPr>
          <w:p>
            <w:pPr>
              <w:spacing w:after="40"/>
            </w:pPr>
            <w:r/>
            <w:r>
              <w:rPr>
                <w:rFonts w:ascii="Times New Roman" w:hAnsi="Times New Roman" w:cs="Times New Roman"/>
                <w:b w:val="0"/>
                <w:i w:val="0"/>
                <w:sz w:val="19"/>
                <w:u w:val="none"/>
              </w:rPr>
              <w:t>Brackenhill</w:t>
            </w:r>
          </w:p>
        </w:tc>
      </w:tr>
      <w:tr>
        <w:tc>
          <w:tcPr>
            <w:tcW w:type="dxa" w:w="864"/>
          </w:tcPr>
          <w:p>
            <w:pPr>
              <w:spacing w:after="40"/>
            </w:pPr>
            <w:r/>
            <w:r>
              <w:rPr>
                <w:rFonts w:ascii="Times New Roman" w:hAnsi="Times New Roman" w:cs="Times New Roman"/>
                <w:b w:val="0"/>
                <w:i w:val="0"/>
                <w:sz w:val="19"/>
                <w:u w:val="none"/>
              </w:rPr>
              <w:t>A5</w:t>
            </w:r>
          </w:p>
        </w:tc>
        <w:tc>
          <w:tcPr>
            <w:tcW w:type="dxa" w:w="6480"/>
          </w:tcPr>
          <w:p>
            <w:pPr>
              <w:spacing w:after="40"/>
            </w:pPr>
            <w:r/>
            <w:r>
              <w:rPr>
                <w:rFonts w:ascii="Times New Roman" w:hAnsi="Times New Roman" w:cs="Times New Roman"/>
                <w:b w:val="0"/>
                <w:i w:val="0"/>
                <w:sz w:val="19"/>
                <w:u w:val="none"/>
              </w:rPr>
              <w:t>Cloudberry is given the change approval required to deploy to the Production Service</w:t>
            </w:r>
          </w:p>
        </w:tc>
        <w:tc>
          <w:tcPr>
            <w:tcW w:type="dxa" w:w="2016"/>
          </w:tcPr>
          <w:p>
            <w:pPr>
              <w:spacing w:after="40"/>
            </w:pPr>
            <w:r/>
            <w:r>
              <w:rPr>
                <w:rFonts w:ascii="Times New Roman" w:hAnsi="Times New Roman" w:cs="Times New Roman"/>
                <w:b w:val="0"/>
                <w:i w:val="0"/>
                <w:sz w:val="19"/>
                <w:u w:val="none"/>
              </w:rPr>
              <w:t>Brackenhill</w:t>
            </w:r>
          </w:p>
        </w:tc>
      </w:tr>
    </w:tbl>
    <w:p>
      <w:pPr/>
    </w:p>
    <w:p>
      <w:pPr>
        <w:spacing w:before="0" w:after="120" w:line="276" w:lineRule="auto"/>
      </w:pPr>
      <w:r>
        <w:rPr>
          <w:rFonts w:ascii="Times New Roman" w:hAnsi="Times New Roman" w:cs="Times New Roman"/>
          <w:b w:val="0"/>
          <w:i w:val="0"/>
          <w:u w:val="none"/>
        </w:rPr>
        <w:t>Where an assumption or dependency is not met, Cloudberry shall notify Brackenhill within 2 working days and the Parties shall agree a revised plan under Part 9. No Milestone Date is varied unless and until a revised plan is agreed in accordance with Part 9.</w:t>
      </w:r>
    </w:p>
    <w:p>
      <w:pPr>
        <w:spacing w:before="200" w:after="80" w:line="276" w:lineRule="auto"/>
      </w:pPr>
      <w:r>
        <w:rPr>
          <w:rFonts w:ascii="Calibri" w:hAnsi="Calibri" w:cs="Calibri"/>
          <w:b/>
          <w:i w:val="0"/>
          <w:sz w:val="24"/>
          <w:u w:val="none"/>
        </w:rPr>
        <w:t>Variations</w:t>
      </w:r>
    </w:p>
    <w:p>
      <w:pPr>
        <w:spacing w:before="0" w:after="120" w:line="276" w:lineRule="auto"/>
      </w:pPr>
      <w:r>
        <w:rPr>
          <w:rFonts w:ascii="Times New Roman" w:hAnsi="Times New Roman" w:cs="Times New Roman"/>
          <w:b w:val="0"/>
          <w:i w:val="0"/>
          <w:u w:val="none"/>
        </w:rPr>
        <w:t>Any work required by Brackenhill that falls outside the scope described in Part 1, or any change to the scope, the Milestone Dates or the Charges, is a variation. Work in respect of a variation shall not commence until the variation has been recorded in a change note signed by the Brackenhill project sponsor and the Cloudberry delivery director, setting out the change, the effect on the Milestone Dates, and the additional charge.</w:t>
      </w:r>
    </w:p>
    <w:tbl>
      <w:tblPr>
        <w:tblStyle w:val="TableGrid"/>
        <w:tblW w:type="auto" w:w="0"/>
        <w:tblLook w:firstColumn="1" w:firstRow="1" w:lastColumn="0" w:lastRow="0" w:noHBand="0" w:noVBand="1" w:val="04A0"/>
      </w:tblPr>
      <w:tblGrid>
        <w:gridCol w:w="3024"/>
        <w:gridCol w:w="3024"/>
        <w:gridCol w:w="3024"/>
      </w:tblGrid>
      <w:tr>
        <w:tc>
          <w:tcPr>
            <w:tcW w:type="dxa" w:w="3744"/>
          </w:tcPr>
          <w:p>
            <w:pPr>
              <w:spacing w:after="40"/>
            </w:pPr>
            <w:r/>
            <w:r>
              <w:rPr>
                <w:rFonts w:ascii="Times New Roman" w:hAnsi="Times New Roman" w:cs="Times New Roman"/>
                <w:b/>
                <w:i w:val="0"/>
                <w:sz w:val="19"/>
                <w:u w:val="none"/>
              </w:rPr>
              <w:t>Role</w:t>
            </w:r>
          </w:p>
        </w:tc>
        <w:tc>
          <w:tcPr>
            <w:tcW w:type="dxa" w:w="3312"/>
          </w:tcPr>
          <w:p>
            <w:pPr>
              <w:spacing w:after="40"/>
            </w:pPr>
            <w:r/>
            <w:r>
              <w:rPr>
                <w:rFonts w:ascii="Times New Roman" w:hAnsi="Times New Roman" w:cs="Times New Roman"/>
                <w:b/>
                <w:i w:val="0"/>
                <w:sz w:val="19"/>
                <w:u w:val="none"/>
              </w:rPr>
              <w:t>Additional day rate (GBP)</w:t>
            </w:r>
          </w:p>
        </w:tc>
        <w:tc>
          <w:tcPr>
            <w:tcW w:type="dxa" w:w="2304"/>
          </w:tcPr>
          <w:p>
            <w:pPr>
              <w:spacing w:after="40"/>
            </w:pPr>
            <w:r/>
            <w:r>
              <w:rPr>
                <w:rFonts w:ascii="Times New Roman" w:hAnsi="Times New Roman" w:cs="Times New Roman"/>
                <w:b/>
                <w:i w:val="0"/>
                <w:sz w:val="19"/>
                <w:u w:val="none"/>
              </w:rPr>
              <w:t>Currency</w:t>
            </w:r>
          </w:p>
        </w:tc>
      </w:tr>
      <w:tr>
        <w:tc>
          <w:tcPr>
            <w:tcW w:type="dxa" w:w="3744"/>
          </w:tcPr>
          <w:p>
            <w:pPr>
              <w:spacing w:after="40"/>
            </w:pPr>
            <w:r/>
            <w:r>
              <w:rPr>
                <w:rFonts w:ascii="Times New Roman" w:hAnsi="Times New Roman" w:cs="Times New Roman"/>
                <w:b w:val="0"/>
                <w:i w:val="0"/>
                <w:sz w:val="19"/>
                <w:u w:val="none"/>
              </w:rPr>
              <w:t>Delivery manager</w:t>
            </w:r>
          </w:p>
        </w:tc>
        <w:tc>
          <w:tcPr>
            <w:tcW w:type="dxa" w:w="3312"/>
          </w:tcPr>
          <w:p>
            <w:pPr>
              <w:spacing w:after="40"/>
            </w:pPr>
            <w:r/>
            <w:r>
              <w:rPr>
                <w:rFonts w:ascii="Times New Roman" w:hAnsi="Times New Roman" w:cs="Times New Roman"/>
                <w:b w:val="0"/>
                <w:i w:val="0"/>
                <w:sz w:val="19"/>
                <w:u w:val="none"/>
              </w:rPr>
              <w:t>1,150</w:t>
            </w:r>
          </w:p>
        </w:tc>
        <w:tc>
          <w:tcPr>
            <w:tcW w:type="dxa" w:w="2304"/>
          </w:tcPr>
          <w:p>
            <w:pPr>
              <w:spacing w:after="40"/>
            </w:pPr>
            <w:r/>
            <w:r>
              <w:rPr>
                <w:rFonts w:ascii="Times New Roman" w:hAnsi="Times New Roman" w:cs="Times New Roman"/>
                <w:b w:val="0"/>
                <w:i w:val="0"/>
                <w:sz w:val="19"/>
                <w:u w:val="none"/>
              </w:rPr>
              <w:t>GBP</w:t>
            </w:r>
          </w:p>
        </w:tc>
      </w:tr>
      <w:tr>
        <w:tc>
          <w:tcPr>
            <w:tcW w:type="dxa" w:w="3744"/>
          </w:tcPr>
          <w:p>
            <w:pPr>
              <w:spacing w:after="40"/>
            </w:pPr>
            <w:r/>
            <w:r>
              <w:rPr>
                <w:rFonts w:ascii="Times New Roman" w:hAnsi="Times New Roman" w:cs="Times New Roman"/>
                <w:b w:val="0"/>
                <w:i w:val="0"/>
                <w:sz w:val="19"/>
                <w:u w:val="none"/>
              </w:rPr>
              <w:t>Consultant</w:t>
            </w:r>
          </w:p>
        </w:tc>
        <w:tc>
          <w:tcPr>
            <w:tcW w:type="dxa" w:w="3312"/>
          </w:tcPr>
          <w:p>
            <w:pPr>
              <w:spacing w:after="40"/>
            </w:pPr>
            <w:r/>
            <w:r>
              <w:rPr>
                <w:rFonts w:ascii="Times New Roman" w:hAnsi="Times New Roman" w:cs="Times New Roman"/>
                <w:b w:val="0"/>
                <w:i w:val="0"/>
                <w:sz w:val="19"/>
                <w:u w:val="none"/>
              </w:rPr>
              <w:t>950</w:t>
            </w:r>
          </w:p>
        </w:tc>
        <w:tc>
          <w:tcPr>
            <w:tcW w:type="dxa" w:w="2304"/>
          </w:tcPr>
          <w:p>
            <w:pPr>
              <w:spacing w:after="40"/>
            </w:pPr>
            <w:r/>
            <w:r>
              <w:rPr>
                <w:rFonts w:ascii="Times New Roman" w:hAnsi="Times New Roman" w:cs="Times New Roman"/>
                <w:b w:val="0"/>
                <w:i w:val="0"/>
                <w:sz w:val="19"/>
                <w:u w:val="none"/>
              </w:rPr>
              <w:t>GBP</w:t>
            </w:r>
          </w:p>
        </w:tc>
      </w:tr>
      <w:tr>
        <w:tc>
          <w:tcPr>
            <w:tcW w:type="dxa" w:w="3744"/>
          </w:tcPr>
          <w:p>
            <w:pPr>
              <w:spacing w:after="40"/>
            </w:pPr>
            <w:r/>
            <w:r>
              <w:rPr>
                <w:rFonts w:ascii="Times New Roman" w:hAnsi="Times New Roman" w:cs="Times New Roman"/>
                <w:b w:val="0"/>
                <w:i w:val="0"/>
                <w:sz w:val="19"/>
                <w:u w:val="none"/>
              </w:rPr>
              <w:t>Engineer</w:t>
            </w:r>
          </w:p>
        </w:tc>
        <w:tc>
          <w:tcPr>
            <w:tcW w:type="dxa" w:w="3312"/>
          </w:tcPr>
          <w:p>
            <w:pPr>
              <w:spacing w:after="40"/>
            </w:pPr>
            <w:r/>
            <w:r>
              <w:rPr>
                <w:rFonts w:ascii="Times New Roman" w:hAnsi="Times New Roman" w:cs="Times New Roman"/>
                <w:b w:val="0"/>
                <w:i w:val="0"/>
                <w:sz w:val="19"/>
                <w:u w:val="none"/>
              </w:rPr>
              <w:t>1,050</w:t>
            </w:r>
          </w:p>
        </w:tc>
        <w:tc>
          <w:tcPr>
            <w:tcW w:type="dxa" w:w="2304"/>
          </w:tcPr>
          <w:p>
            <w:pPr>
              <w:spacing w:after="40"/>
            </w:pPr>
            <w:r/>
            <w:r>
              <w:rPr>
                <w:rFonts w:ascii="Times New Roman" w:hAnsi="Times New Roman" w:cs="Times New Roman"/>
                <w:b w:val="0"/>
                <w:i w:val="0"/>
                <w:sz w:val="19"/>
                <w:u w:val="none"/>
              </w:rPr>
              <w:t>GBP</w:t>
            </w:r>
          </w:p>
        </w:tc>
      </w:tr>
    </w:tbl>
    <w:p>
      <w:pPr/>
    </w:p>
    <w:p>
      <w:pPr>
        <w:spacing w:before="0" w:after="120" w:line="276" w:lineRule="auto"/>
      </w:pPr>
      <w:r>
        <w:rPr>
          <w:rFonts w:ascii="Times New Roman" w:hAnsi="Times New Roman" w:cs="Times New Roman"/>
          <w:b w:val="0"/>
          <w:i w:val="0"/>
          <w:u w:val="none"/>
        </w:rPr>
        <w:t>Rates in this Part 9 are fixed for the duration of the Project. Travel time is not chargeable. A variation recorded in accordance with this Part 9 is not a change to the Charges described in Part 4 and does not reduce the amounts payable under Part 4.</w:t>
      </w:r>
    </w:p>
    <w:p>
      <w:pPr>
        <w:spacing w:before="200" w:after="80" w:line="276" w:lineRule="auto"/>
      </w:pPr>
      <w:r>
        <w:rPr>
          <w:rFonts w:ascii="Calibri" w:hAnsi="Calibri" w:cs="Calibri"/>
          <w:b/>
          <w:i w:val="0"/>
          <w:sz w:val="24"/>
          <w:u w:val="none"/>
        </w:rPr>
        <w:t>Intellectual Property in Project Deliverables</w:t>
      </w:r>
    </w:p>
    <w:p>
      <w:pPr>
        <w:spacing w:before="0" w:after="120" w:line="276" w:lineRule="auto"/>
      </w:pPr>
      <w:r>
        <w:rPr>
          <w:rFonts w:ascii="Times New Roman" w:hAnsi="Times New Roman" w:cs="Times New Roman"/>
          <w:b w:val="0"/>
          <w:i w:val="0"/>
          <w:u w:val="none"/>
        </w:rPr>
        <w:t>All intellectual property rights in the Deliverables vest in Cloudberry on creation. Brackenhill is granted a perpetual, non-exclusive, royalty-free licence to use the Deliverables for the purposes of its business for so long as it subscribes to the Production Service.</w:t>
      </w:r>
    </w:p>
    <w:p>
      <w:pPr>
        <w:spacing w:before="0" w:after="120" w:line="276" w:lineRule="auto"/>
      </w:pPr>
      <w:r>
        <w:rPr>
          <w:rFonts w:ascii="Times New Roman" w:hAnsi="Times New Roman" w:cs="Times New Roman"/>
          <w:b w:val="0"/>
          <w:i w:val="0"/>
          <w:u w:val="none"/>
        </w:rPr>
        <w:t>Cloudberry may reuse Brackenhill's materials, configurations, store layouts, business process descriptions and any Brackenhill data incorporated into a Deliverable for the benefit of Cloudberry's other customers and may include them in Cloudberry's product documentation, provided that Cloudberry does not disclose Brackenhill's name or any Brackenhill trade mark.</w:t>
      </w:r>
    </w:p>
    <w:p>
      <w:pPr>
        <w:spacing w:before="200" w:after="80" w:line="276" w:lineRule="auto"/>
      </w:pPr>
      <w:r>
        <w:rPr>
          <w:rFonts w:ascii="Calibri" w:hAnsi="Calibri" w:cs="Calibri"/>
          <w:b/>
          <w:i w:val="0"/>
          <w:sz w:val="24"/>
          <w:u w:val="none"/>
        </w:rPr>
        <w:t>Data Protection and Security</w:t>
      </w:r>
    </w:p>
    <w:p>
      <w:pPr>
        <w:spacing w:before="0" w:after="120" w:line="276" w:lineRule="auto"/>
      </w:pPr>
      <w:r>
        <w:rPr>
          <w:rFonts w:ascii="Times New Roman" w:hAnsi="Times New Roman" w:cs="Times New Roman"/>
          <w:b w:val="0"/>
          <w:i w:val="0"/>
          <w:u w:val="none"/>
        </w:rPr>
        <w:t>Cloudberry shall process Brackenhill personal data only on Brackenhill's documented instructions and in accordance with the data protection provisions of the MSA. Cloudberry shall notify Brackenhill of any personal data breach within 48 hours of becoming aware and shall provide such information as Brackenhill reasonably requires to comply with its obligation to the Information Commissioner within 72 hours.</w:t>
      </w:r>
    </w:p>
    <w:p>
      <w:pPr>
        <w:spacing w:before="0" w:after="120" w:line="276" w:lineRule="auto"/>
      </w:pPr>
      <w:r>
        <w:rPr>
          <w:rFonts w:ascii="Times New Roman" w:hAnsi="Times New Roman" w:cs="Times New Roman"/>
          <w:b w:val="0"/>
          <w:i w:val="0"/>
          <w:u w:val="none"/>
        </w:rPr>
        <w:t>Cloudberry shall maintain its ISO/IEC 27001 certification and shall provide the MSA compliance information on request. Cloudberry personnel engaged on the Project shall be subject to confidentiality obligations no less protective than those in the MSA and shall not be changed without notification under Part 6.</w:t>
      </w:r>
    </w:p>
    <w:p>
      <w:pPr>
        <w:spacing w:before="200" w:after="80" w:line="276" w:lineRule="auto"/>
      </w:pPr>
      <w:r>
        <w:rPr>
          <w:rFonts w:ascii="Calibri" w:hAnsi="Calibri" w:cs="Calibri"/>
          <w:b/>
          <w:i w:val="0"/>
          <w:sz w:val="24"/>
          <w:u w:val="none"/>
        </w:rPr>
        <w:t>Subcontracting</w:t>
      </w:r>
    </w:p>
    <w:p>
      <w:pPr>
        <w:spacing w:before="0" w:after="120" w:line="276" w:lineRule="auto"/>
      </w:pPr>
      <w:r>
        <w:rPr>
          <w:rFonts w:ascii="Times New Roman" w:hAnsi="Times New Roman" w:cs="Times New Roman"/>
          <w:b w:val="0"/>
          <w:i w:val="0"/>
          <w:u w:val="none"/>
        </w:rPr>
        <w:t>Cloudberry shall perform the services described in this Statement of Work using the personnel named in Part 6 and the subcontractors named in the Order Form under the Master Services Agreement, and no others, unless it has first obtained Brackenhill's prior written consent to the additional or replacement subcontractor. Cloudberry shall at all times remain fully liable for the acts and omissions of each subcontractor, shall impose on each subcontractor written obligations no less protective than those in the MSA, and shall procure that no subcontractor's terms apply to Brackenhill or take precedence over the MSA or this Statement of Work.</w:t>
      </w:r>
    </w:p>
    <w:p>
      <w:pPr>
        <w:spacing w:before="200" w:after="80" w:line="276" w:lineRule="auto"/>
      </w:pPr>
      <w:r>
        <w:rPr>
          <w:rFonts w:ascii="Calibri" w:hAnsi="Calibri" w:cs="Calibri"/>
          <w:b/>
          <w:i w:val="0"/>
          <w:sz w:val="24"/>
          <w:u w:val="none"/>
        </w:rPr>
        <w:t>Liability Under this Statement of Work</w:t>
      </w:r>
    </w:p>
    <w:p>
      <w:pPr>
        <w:spacing w:before="0" w:after="120" w:line="276" w:lineRule="auto"/>
      </w:pPr>
      <w:r>
        <w:rPr>
          <w:rFonts w:ascii="Times New Roman" w:hAnsi="Times New Roman" w:cs="Times New Roman"/>
          <w:b w:val="0"/>
          <w:i w:val="0"/>
          <w:u w:val="none"/>
        </w:rPr>
        <w:t>The aggregate liability of Cloudberry in respect of this Statement of Work, howsoever arising, shall not exceed 20% of the Charges payable under Part 4. This Part 13 takes precedence over any limitation of liability in the MSA in respect of the subject matter of this Statement of Work.</w:t>
      </w:r>
    </w:p>
    <w:p>
      <w:pPr>
        <w:spacing w:before="0" w:after="120" w:line="276" w:lineRule="auto"/>
      </w:pPr>
      <w:r>
        <w:rPr>
          <w:rFonts w:ascii="Times New Roman" w:hAnsi="Times New Roman" w:cs="Times New Roman"/>
          <w:b w:val="0"/>
          <w:i w:val="0"/>
          <w:u w:val="none"/>
        </w:rPr>
        <w:t>Nothing in this Part 13 limits either Party's liability for death or personal injury caused by negligence, for fraud, or for any liability that cannot lawfully be limited.</w:t>
      </w:r>
    </w:p>
    <w:p>
      <w:pPr>
        <w:spacing w:before="200" w:after="80" w:line="276" w:lineRule="auto"/>
      </w:pPr>
      <w:r>
        <w:rPr>
          <w:rFonts w:ascii="Calibri" w:hAnsi="Calibri" w:cs="Calibri"/>
          <w:b/>
          <w:i w:val="0"/>
          <w:sz w:val="24"/>
          <w:u w:val="none"/>
        </w:rPr>
        <w:t>Governing Law and Jurisdiction</w:t>
      </w:r>
    </w:p>
    <w:p>
      <w:pPr>
        <w:spacing w:before="0" w:after="120" w:line="276" w:lineRule="auto"/>
      </w:pPr>
      <w:r>
        <w:rPr>
          <w:rFonts w:ascii="Times New Roman" w:hAnsi="Times New Roman" w:cs="Times New Roman"/>
          <w:b w:val="0"/>
          <w:i w:val="0"/>
          <w:u w:val="none"/>
        </w:rPr>
        <w:t>This Statement of Work is governed by the laws of England and Wales and the Parties submit to the exclusive jurisdiction of the courts of England and Wales. The governing law and jurisdiction provisions of the MSA apply to this Statement of Work and no other provision of the MSA is excluded by this Statement of Work.</w:t>
      </w:r>
    </w:p>
    <w:p>
      <w:pPr>
        <w:spacing w:before="200" w:after="80" w:line="276" w:lineRule="auto"/>
      </w:pPr>
      <w:r>
        <w:rPr>
          <w:rFonts w:ascii="Calibri" w:hAnsi="Calibri" w:cs="Calibri"/>
          <w:b/>
          <w:i w:val="0"/>
          <w:sz w:val="24"/>
          <w:u w:val="none"/>
        </w:rPr>
        <w:t>Reporting Pack Specification</w:t>
      </w:r>
    </w:p>
    <w:tbl>
      <w:tblPr>
        <w:tblStyle w:val="TableGrid"/>
        <w:tblW w:type="auto" w:w="0"/>
        <w:tblLook w:firstColumn="1" w:firstRow="1" w:lastColumn="0" w:lastRow="0" w:noHBand="0" w:noVBand="1" w:val="04A0"/>
      </w:tblPr>
      <w:tblGrid>
        <w:gridCol w:w="2268"/>
        <w:gridCol w:w="2268"/>
        <w:gridCol w:w="2268"/>
        <w:gridCol w:w="2268"/>
      </w:tblGrid>
      <w:tr>
        <w:tc>
          <w:tcPr>
            <w:tcW w:type="dxa" w:w="3168"/>
          </w:tcPr>
          <w:p>
            <w:pPr>
              <w:spacing w:after="40"/>
            </w:pPr>
            <w:r/>
            <w:r>
              <w:rPr>
                <w:rFonts w:ascii="Times New Roman" w:hAnsi="Times New Roman" w:cs="Times New Roman"/>
                <w:b/>
                <w:i w:val="0"/>
                <w:sz w:val="19"/>
                <w:u w:val="none"/>
              </w:rPr>
              <w:t>Report</w:t>
            </w:r>
          </w:p>
        </w:tc>
        <w:tc>
          <w:tcPr>
            <w:tcW w:type="dxa" w:w="2448"/>
          </w:tcPr>
          <w:p>
            <w:pPr>
              <w:spacing w:after="40"/>
            </w:pPr>
            <w:r/>
            <w:r>
              <w:rPr>
                <w:rFonts w:ascii="Times New Roman" w:hAnsi="Times New Roman" w:cs="Times New Roman"/>
                <w:b/>
                <w:i w:val="0"/>
                <w:sz w:val="19"/>
                <w:u w:val="none"/>
              </w:rPr>
              <w:t>Refresh</w:t>
            </w:r>
          </w:p>
        </w:tc>
        <w:tc>
          <w:tcPr>
            <w:tcW w:type="dxa" w:w="2160"/>
          </w:tcPr>
          <w:p>
            <w:pPr>
              <w:spacing w:after="40"/>
            </w:pPr>
            <w:r/>
            <w:r>
              <w:rPr>
                <w:rFonts w:ascii="Times New Roman" w:hAnsi="Times New Roman" w:cs="Times New Roman"/>
                <w:b/>
                <w:i w:val="0"/>
                <w:sz w:val="19"/>
                <w:u w:val="none"/>
              </w:rPr>
              <w:t>Delivery format</w:t>
            </w:r>
          </w:p>
        </w:tc>
        <w:tc>
          <w:tcPr>
            <w:tcW w:type="dxa" w:w="2304"/>
          </w:tcPr>
          <w:p>
            <w:pPr>
              <w:spacing w:after="40"/>
            </w:pPr>
            <w:r/>
            <w:r>
              <w:rPr>
                <w:rFonts w:ascii="Times New Roman" w:hAnsi="Times New Roman" w:cs="Times New Roman"/>
                <w:b/>
                <w:i w:val="0"/>
                <w:sz w:val="19"/>
                <w:u w:val="none"/>
              </w:rPr>
              <w:t>Audience</w:t>
            </w:r>
          </w:p>
        </w:tc>
      </w:tr>
      <w:tr>
        <w:tc>
          <w:tcPr>
            <w:tcW w:type="dxa" w:w="3168"/>
          </w:tcPr>
          <w:p>
            <w:pPr>
              <w:spacing w:after="40"/>
            </w:pPr>
            <w:r/>
            <w:r>
              <w:rPr>
                <w:rFonts w:ascii="Times New Roman" w:hAnsi="Times New Roman" w:cs="Times New Roman"/>
                <w:b w:val="0"/>
                <w:i w:val="0"/>
                <w:sz w:val="19"/>
                <w:u w:val="none"/>
              </w:rPr>
              <w:t>Trading dashboard — daily</w:t>
            </w:r>
          </w:p>
        </w:tc>
        <w:tc>
          <w:tcPr>
            <w:tcW w:type="dxa" w:w="2448"/>
          </w:tcPr>
          <w:p>
            <w:pPr>
              <w:spacing w:after="40"/>
            </w:pPr>
            <w:r/>
            <w:r>
              <w:rPr>
                <w:rFonts w:ascii="Times New Roman" w:hAnsi="Times New Roman" w:cs="Times New Roman"/>
                <w:b w:val="0"/>
                <w:i w:val="0"/>
                <w:sz w:val="19"/>
                <w:u w:val="none"/>
              </w:rPr>
              <w:t>Daily by 07:00</w:t>
            </w:r>
          </w:p>
        </w:tc>
        <w:tc>
          <w:tcPr>
            <w:tcW w:type="dxa" w:w="2160"/>
          </w:tcPr>
          <w:p>
            <w:pPr>
              <w:spacing w:after="40"/>
            </w:pPr>
            <w:r/>
            <w:r>
              <w:rPr>
                <w:rFonts w:ascii="Times New Roman" w:hAnsi="Times New Roman" w:cs="Times New Roman"/>
                <w:b w:val="0"/>
                <w:i w:val="0"/>
                <w:sz w:val="19"/>
                <w:u w:val="none"/>
              </w:rPr>
              <w:t>Web and PDF</w:t>
            </w:r>
          </w:p>
        </w:tc>
        <w:tc>
          <w:tcPr>
            <w:tcW w:type="dxa" w:w="2304"/>
          </w:tcPr>
          <w:p>
            <w:pPr>
              <w:spacing w:after="40"/>
            </w:pPr>
            <w:r/>
            <w:r>
              <w:rPr>
                <w:rFonts w:ascii="Times New Roman" w:hAnsi="Times New Roman" w:cs="Times New Roman"/>
                <w:b w:val="0"/>
                <w:i w:val="0"/>
                <w:sz w:val="19"/>
                <w:u w:val="none"/>
              </w:rPr>
              <w:t>Store and district managers</w:t>
            </w:r>
          </w:p>
        </w:tc>
      </w:tr>
      <w:tr>
        <w:tc>
          <w:tcPr>
            <w:tcW w:type="dxa" w:w="3168"/>
          </w:tcPr>
          <w:p>
            <w:pPr>
              <w:spacing w:after="40"/>
            </w:pPr>
            <w:r/>
            <w:r>
              <w:rPr>
                <w:rFonts w:ascii="Times New Roman" w:hAnsi="Times New Roman" w:cs="Times New Roman"/>
                <w:b w:val="0"/>
                <w:i w:val="0"/>
                <w:sz w:val="19"/>
                <w:u w:val="none"/>
              </w:rPr>
              <w:t>Regional performance — weekly</w:t>
            </w:r>
          </w:p>
        </w:tc>
        <w:tc>
          <w:tcPr>
            <w:tcW w:type="dxa" w:w="2448"/>
          </w:tcPr>
          <w:p>
            <w:pPr>
              <w:spacing w:after="40"/>
            </w:pPr>
            <w:r/>
            <w:r>
              <w:rPr>
                <w:rFonts w:ascii="Times New Roman" w:hAnsi="Times New Roman" w:cs="Times New Roman"/>
                <w:b w:val="0"/>
                <w:i w:val="0"/>
                <w:sz w:val="19"/>
                <w:u w:val="none"/>
              </w:rPr>
              <w:t>Weekly by Monday 09:00</w:t>
            </w:r>
          </w:p>
        </w:tc>
        <w:tc>
          <w:tcPr>
            <w:tcW w:type="dxa" w:w="2160"/>
          </w:tcPr>
          <w:p>
            <w:pPr>
              <w:spacing w:after="40"/>
            </w:pPr>
            <w:r/>
            <w:r>
              <w:rPr>
                <w:rFonts w:ascii="Times New Roman" w:hAnsi="Times New Roman" w:cs="Times New Roman"/>
                <w:b w:val="0"/>
                <w:i w:val="0"/>
                <w:sz w:val="19"/>
                <w:u w:val="none"/>
              </w:rPr>
              <w:t>Web and CSV</w:t>
            </w:r>
          </w:p>
        </w:tc>
        <w:tc>
          <w:tcPr>
            <w:tcW w:type="dxa" w:w="2304"/>
          </w:tcPr>
          <w:p>
            <w:pPr>
              <w:spacing w:after="40"/>
            </w:pPr>
            <w:r/>
            <w:r>
              <w:rPr>
                <w:rFonts w:ascii="Times New Roman" w:hAnsi="Times New Roman" w:cs="Times New Roman"/>
                <w:b w:val="0"/>
                <w:i w:val="0"/>
                <w:sz w:val="19"/>
                <w:u w:val="none"/>
              </w:rPr>
              <w:t>Regional managers</w:t>
            </w:r>
          </w:p>
        </w:tc>
      </w:tr>
      <w:tr>
        <w:tc>
          <w:tcPr>
            <w:tcW w:type="dxa" w:w="3168"/>
          </w:tcPr>
          <w:p>
            <w:pPr>
              <w:spacing w:after="40"/>
            </w:pPr>
            <w:r/>
            <w:r>
              <w:rPr>
                <w:rFonts w:ascii="Times New Roman" w:hAnsi="Times New Roman" w:cs="Times New Roman"/>
                <w:b w:val="0"/>
                <w:i w:val="0"/>
                <w:sz w:val="19"/>
                <w:u w:val="none"/>
              </w:rPr>
              <w:t>Stock cover analysis</w:t>
            </w:r>
          </w:p>
        </w:tc>
        <w:tc>
          <w:tcPr>
            <w:tcW w:type="dxa" w:w="2448"/>
          </w:tcPr>
          <w:p>
            <w:pPr>
              <w:spacing w:after="40"/>
            </w:pPr>
            <w:r/>
            <w:r>
              <w:rPr>
                <w:rFonts w:ascii="Times New Roman" w:hAnsi="Times New Roman" w:cs="Times New Roman"/>
                <w:b w:val="0"/>
                <w:i w:val="0"/>
                <w:sz w:val="19"/>
                <w:u w:val="none"/>
              </w:rPr>
              <w:t>Nightly</w:t>
            </w:r>
          </w:p>
        </w:tc>
        <w:tc>
          <w:tcPr>
            <w:tcW w:type="dxa" w:w="2160"/>
          </w:tcPr>
          <w:p>
            <w:pPr>
              <w:spacing w:after="40"/>
            </w:pPr>
            <w:r/>
            <w:r>
              <w:rPr>
                <w:rFonts w:ascii="Times New Roman" w:hAnsi="Times New Roman" w:cs="Times New Roman"/>
                <w:b w:val="0"/>
                <w:i w:val="0"/>
                <w:sz w:val="19"/>
                <w:u w:val="none"/>
              </w:rPr>
              <w:t>Web</w:t>
            </w:r>
          </w:p>
        </w:tc>
        <w:tc>
          <w:tcPr>
            <w:tcW w:type="dxa" w:w="2304"/>
          </w:tcPr>
          <w:p>
            <w:pPr>
              <w:spacing w:after="40"/>
            </w:pPr>
            <w:r/>
            <w:r>
              <w:rPr>
                <w:rFonts w:ascii="Times New Roman" w:hAnsi="Times New Roman" w:cs="Times New Roman"/>
                <w:b w:val="0"/>
                <w:i w:val="0"/>
                <w:sz w:val="19"/>
                <w:u w:val="none"/>
              </w:rPr>
              <w:t>Buying teams</w:t>
            </w:r>
          </w:p>
        </w:tc>
      </w:tr>
      <w:tr>
        <w:tc>
          <w:tcPr>
            <w:tcW w:type="dxa" w:w="3168"/>
          </w:tcPr>
          <w:p>
            <w:pPr>
              <w:spacing w:after="40"/>
            </w:pPr>
            <w:r/>
            <w:r>
              <w:rPr>
                <w:rFonts w:ascii="Times New Roman" w:hAnsi="Times New Roman" w:cs="Times New Roman"/>
                <w:b w:val="0"/>
                <w:i w:val="0"/>
                <w:sz w:val="19"/>
                <w:u w:val="none"/>
              </w:rPr>
              <w:t>Markdown exception report</w:t>
            </w:r>
          </w:p>
        </w:tc>
        <w:tc>
          <w:tcPr>
            <w:tcW w:type="dxa" w:w="2448"/>
          </w:tcPr>
          <w:p>
            <w:pPr>
              <w:spacing w:after="40"/>
            </w:pPr>
            <w:r/>
            <w:r>
              <w:rPr>
                <w:rFonts w:ascii="Times New Roman" w:hAnsi="Times New Roman" w:cs="Times New Roman"/>
                <w:b w:val="0"/>
                <w:i w:val="0"/>
                <w:sz w:val="19"/>
                <w:u w:val="none"/>
              </w:rPr>
              <w:t>Nightly</w:t>
            </w:r>
          </w:p>
        </w:tc>
        <w:tc>
          <w:tcPr>
            <w:tcW w:type="dxa" w:w="2160"/>
          </w:tcPr>
          <w:p>
            <w:pPr>
              <w:spacing w:after="40"/>
            </w:pPr>
            <w:r/>
            <w:r>
              <w:rPr>
                <w:rFonts w:ascii="Times New Roman" w:hAnsi="Times New Roman" w:cs="Times New Roman"/>
                <w:b w:val="0"/>
                <w:i w:val="0"/>
                <w:sz w:val="19"/>
                <w:u w:val="none"/>
              </w:rPr>
              <w:t>Web and email alert</w:t>
            </w:r>
          </w:p>
        </w:tc>
        <w:tc>
          <w:tcPr>
            <w:tcW w:type="dxa" w:w="2304"/>
          </w:tcPr>
          <w:p>
            <w:pPr>
              <w:spacing w:after="40"/>
            </w:pPr>
            <w:r/>
            <w:r>
              <w:rPr>
                <w:rFonts w:ascii="Times New Roman" w:hAnsi="Times New Roman" w:cs="Times New Roman"/>
                <w:b w:val="0"/>
                <w:i w:val="0"/>
                <w:sz w:val="19"/>
                <w:u w:val="none"/>
              </w:rPr>
              <w:t>Buying and supply chain</w:t>
            </w:r>
          </w:p>
        </w:tc>
      </w:tr>
      <w:tr>
        <w:tc>
          <w:tcPr>
            <w:tcW w:type="dxa" w:w="3168"/>
          </w:tcPr>
          <w:p>
            <w:pPr>
              <w:spacing w:after="40"/>
            </w:pPr>
            <w:r/>
            <w:r>
              <w:rPr>
                <w:rFonts w:ascii="Times New Roman" w:hAnsi="Times New Roman" w:cs="Times New Roman"/>
                <w:b w:val="0"/>
                <w:i w:val="0"/>
                <w:sz w:val="19"/>
                <w:u w:val="none"/>
              </w:rPr>
              <w:t>Promotion elasticity</w:t>
            </w:r>
          </w:p>
        </w:tc>
        <w:tc>
          <w:tcPr>
            <w:tcW w:type="dxa" w:w="2448"/>
          </w:tcPr>
          <w:p>
            <w:pPr>
              <w:spacing w:after="40"/>
            </w:pPr>
            <w:r/>
            <w:r>
              <w:rPr>
                <w:rFonts w:ascii="Times New Roman" w:hAnsi="Times New Roman" w:cs="Times New Roman"/>
                <w:b w:val="0"/>
                <w:i w:val="0"/>
                <w:sz w:val="19"/>
                <w:u w:val="none"/>
              </w:rPr>
              <w:t>Weekly</w:t>
            </w:r>
          </w:p>
        </w:tc>
        <w:tc>
          <w:tcPr>
            <w:tcW w:type="dxa" w:w="2160"/>
          </w:tcPr>
          <w:p>
            <w:pPr>
              <w:spacing w:after="40"/>
            </w:pPr>
            <w:r/>
            <w:r>
              <w:rPr>
                <w:rFonts w:ascii="Times New Roman" w:hAnsi="Times New Roman" w:cs="Times New Roman"/>
                <w:b w:val="0"/>
                <w:i w:val="0"/>
                <w:sz w:val="19"/>
                <w:u w:val="none"/>
              </w:rPr>
              <w:t>Web</w:t>
            </w:r>
          </w:p>
        </w:tc>
        <w:tc>
          <w:tcPr>
            <w:tcW w:type="dxa" w:w="2304"/>
          </w:tcPr>
          <w:p>
            <w:pPr>
              <w:spacing w:after="40"/>
            </w:pPr>
            <w:r/>
            <w:r>
              <w:rPr>
                <w:rFonts w:ascii="Times New Roman" w:hAnsi="Times New Roman" w:cs="Times New Roman"/>
                <w:b w:val="0"/>
                <w:i w:val="0"/>
                <w:sz w:val="19"/>
                <w:u w:val="none"/>
              </w:rPr>
              <w:t>Commercial team</w:t>
            </w:r>
          </w:p>
        </w:tc>
      </w:tr>
      <w:tr>
        <w:tc>
          <w:tcPr>
            <w:tcW w:type="dxa" w:w="3168"/>
          </w:tcPr>
          <w:p>
            <w:pPr>
              <w:spacing w:after="40"/>
            </w:pPr>
            <w:r/>
            <w:r>
              <w:rPr>
                <w:rFonts w:ascii="Times New Roman" w:hAnsi="Times New Roman" w:cs="Times New Roman"/>
                <w:b w:val="0"/>
                <w:i w:val="0"/>
                <w:sz w:val="19"/>
                <w:u w:val="none"/>
              </w:rPr>
              <w:t>Returns and losses analysis</w:t>
            </w:r>
          </w:p>
        </w:tc>
        <w:tc>
          <w:tcPr>
            <w:tcW w:type="dxa" w:w="2448"/>
          </w:tcPr>
          <w:p>
            <w:pPr>
              <w:spacing w:after="40"/>
            </w:pPr>
            <w:r/>
            <w:r>
              <w:rPr>
                <w:rFonts w:ascii="Times New Roman" w:hAnsi="Times New Roman" w:cs="Times New Roman"/>
                <w:b w:val="0"/>
                <w:i w:val="0"/>
                <w:sz w:val="19"/>
                <w:u w:val="none"/>
              </w:rPr>
              <w:t>Weekly</w:t>
            </w:r>
          </w:p>
        </w:tc>
        <w:tc>
          <w:tcPr>
            <w:tcW w:type="dxa" w:w="2160"/>
          </w:tcPr>
          <w:p>
            <w:pPr>
              <w:spacing w:after="40"/>
            </w:pPr>
            <w:r/>
            <w:r>
              <w:rPr>
                <w:rFonts w:ascii="Times New Roman" w:hAnsi="Times New Roman" w:cs="Times New Roman"/>
                <w:b w:val="0"/>
                <w:i w:val="0"/>
                <w:sz w:val="19"/>
                <w:u w:val="none"/>
              </w:rPr>
              <w:t>Web and PDF</w:t>
            </w:r>
          </w:p>
        </w:tc>
        <w:tc>
          <w:tcPr>
            <w:tcW w:type="dxa" w:w="2304"/>
          </w:tcPr>
          <w:p>
            <w:pPr>
              <w:spacing w:after="40"/>
            </w:pPr>
            <w:r/>
            <w:r>
              <w:rPr>
                <w:rFonts w:ascii="Times New Roman" w:hAnsi="Times New Roman" w:cs="Times New Roman"/>
                <w:b w:val="0"/>
                <w:i w:val="0"/>
                <w:sz w:val="19"/>
                <w:u w:val="none"/>
              </w:rPr>
              <w:t>Finance</w:t>
            </w:r>
          </w:p>
        </w:tc>
      </w:tr>
      <w:tr>
        <w:tc>
          <w:tcPr>
            <w:tcW w:type="dxa" w:w="3168"/>
          </w:tcPr>
          <w:p>
            <w:pPr>
              <w:spacing w:after="40"/>
            </w:pPr>
            <w:r/>
            <w:r>
              <w:rPr>
                <w:rFonts w:ascii="Times New Roman" w:hAnsi="Times New Roman" w:cs="Times New Roman"/>
                <w:b w:val="0"/>
                <w:i w:val="0"/>
                <w:sz w:val="19"/>
                <w:u w:val="none"/>
              </w:rPr>
              <w:t>Customer basket analysis</w:t>
            </w:r>
          </w:p>
        </w:tc>
        <w:tc>
          <w:tcPr>
            <w:tcW w:type="dxa" w:w="2448"/>
          </w:tcPr>
          <w:p>
            <w:pPr>
              <w:spacing w:after="40"/>
            </w:pPr>
            <w:r/>
            <w:r>
              <w:rPr>
                <w:rFonts w:ascii="Times New Roman" w:hAnsi="Times New Roman" w:cs="Times New Roman"/>
                <w:b w:val="0"/>
                <w:i w:val="0"/>
                <w:sz w:val="19"/>
                <w:u w:val="none"/>
              </w:rPr>
              <w:t>Weekly</w:t>
            </w:r>
          </w:p>
        </w:tc>
        <w:tc>
          <w:tcPr>
            <w:tcW w:type="dxa" w:w="2160"/>
          </w:tcPr>
          <w:p>
            <w:pPr>
              <w:spacing w:after="40"/>
            </w:pPr>
            <w:r/>
            <w:r>
              <w:rPr>
                <w:rFonts w:ascii="Times New Roman" w:hAnsi="Times New Roman" w:cs="Times New Roman"/>
                <w:b w:val="0"/>
                <w:i w:val="0"/>
                <w:sz w:val="19"/>
                <w:u w:val="none"/>
              </w:rPr>
              <w:t>Web</w:t>
            </w:r>
          </w:p>
        </w:tc>
        <w:tc>
          <w:tcPr>
            <w:tcW w:type="dxa" w:w="2304"/>
          </w:tcPr>
          <w:p>
            <w:pPr>
              <w:spacing w:after="40"/>
            </w:pPr>
            <w:r/>
            <w:r>
              <w:rPr>
                <w:rFonts w:ascii="Times New Roman" w:hAnsi="Times New Roman" w:cs="Times New Roman"/>
                <w:b w:val="0"/>
                <w:i w:val="0"/>
                <w:sz w:val="19"/>
                <w:u w:val="none"/>
              </w:rPr>
              <w:t>Commercial team</w:t>
            </w:r>
          </w:p>
        </w:tc>
      </w:tr>
      <w:tr>
        <w:tc>
          <w:tcPr>
            <w:tcW w:type="dxa" w:w="3168"/>
          </w:tcPr>
          <w:p>
            <w:pPr>
              <w:spacing w:after="40"/>
            </w:pPr>
            <w:r/>
            <w:r>
              <w:rPr>
                <w:rFonts w:ascii="Times New Roman" w:hAnsi="Times New Roman" w:cs="Times New Roman"/>
                <w:b w:val="0"/>
                <w:i w:val="0"/>
                <w:sz w:val="19"/>
                <w:u w:val="none"/>
              </w:rPr>
              <w:t>Basket price and mix</w:t>
            </w:r>
          </w:p>
        </w:tc>
        <w:tc>
          <w:tcPr>
            <w:tcW w:type="dxa" w:w="2448"/>
          </w:tcPr>
          <w:p>
            <w:pPr>
              <w:spacing w:after="40"/>
            </w:pPr>
            <w:r/>
            <w:r>
              <w:rPr>
                <w:rFonts w:ascii="Times New Roman" w:hAnsi="Times New Roman" w:cs="Times New Roman"/>
                <w:b w:val="0"/>
                <w:i w:val="0"/>
                <w:sz w:val="19"/>
                <w:u w:val="none"/>
              </w:rPr>
              <w:t>Monthly</w:t>
            </w:r>
          </w:p>
        </w:tc>
        <w:tc>
          <w:tcPr>
            <w:tcW w:type="dxa" w:w="2160"/>
          </w:tcPr>
          <w:p>
            <w:pPr>
              <w:spacing w:after="40"/>
            </w:pPr>
            <w:r/>
            <w:r>
              <w:rPr>
                <w:rFonts w:ascii="Times New Roman" w:hAnsi="Times New Roman" w:cs="Times New Roman"/>
                <w:b w:val="0"/>
                <w:i w:val="0"/>
                <w:sz w:val="19"/>
                <w:u w:val="none"/>
              </w:rPr>
              <w:t>PDF</w:t>
            </w:r>
          </w:p>
        </w:tc>
        <w:tc>
          <w:tcPr>
            <w:tcW w:type="dxa" w:w="2304"/>
          </w:tcPr>
          <w:p>
            <w:pPr>
              <w:spacing w:after="40"/>
            </w:pPr>
            <w:r/>
            <w:r>
              <w:rPr>
                <w:rFonts w:ascii="Times New Roman" w:hAnsi="Times New Roman" w:cs="Times New Roman"/>
                <w:b w:val="0"/>
                <w:i w:val="0"/>
                <w:sz w:val="19"/>
                <w:u w:val="none"/>
              </w:rPr>
              <w:t>Board and finance</w:t>
            </w:r>
          </w:p>
        </w:tc>
      </w:tr>
      <w:tr>
        <w:tc>
          <w:tcPr>
            <w:tcW w:type="dxa" w:w="3168"/>
          </w:tcPr>
          <w:p>
            <w:pPr>
              <w:spacing w:after="40"/>
            </w:pPr>
            <w:r/>
            <w:r>
              <w:rPr>
                <w:rFonts w:ascii="Times New Roman" w:hAnsi="Times New Roman" w:cs="Times New Roman"/>
                <w:b w:val="0"/>
                <w:i w:val="0"/>
                <w:sz w:val="19"/>
                <w:u w:val="none"/>
              </w:rPr>
              <w:t>Payback analysis</w:t>
            </w:r>
          </w:p>
        </w:tc>
        <w:tc>
          <w:tcPr>
            <w:tcW w:type="dxa" w:w="2448"/>
          </w:tcPr>
          <w:p>
            <w:pPr>
              <w:spacing w:after="40"/>
            </w:pPr>
            <w:r/>
            <w:r>
              <w:rPr>
                <w:rFonts w:ascii="Times New Roman" w:hAnsi="Times New Roman" w:cs="Times New Roman"/>
                <w:b w:val="0"/>
                <w:i w:val="0"/>
                <w:sz w:val="19"/>
                <w:u w:val="none"/>
              </w:rPr>
              <w:t>Monthly</w:t>
            </w:r>
          </w:p>
        </w:tc>
        <w:tc>
          <w:tcPr>
            <w:tcW w:type="dxa" w:w="2160"/>
          </w:tcPr>
          <w:p>
            <w:pPr>
              <w:spacing w:after="40"/>
            </w:pPr>
            <w:r/>
            <w:r>
              <w:rPr>
                <w:rFonts w:ascii="Times New Roman" w:hAnsi="Times New Roman" w:cs="Times New Roman"/>
                <w:b w:val="0"/>
                <w:i w:val="0"/>
                <w:sz w:val="19"/>
                <w:u w:val="none"/>
              </w:rPr>
              <w:t>PDF</w:t>
            </w:r>
          </w:p>
        </w:tc>
        <w:tc>
          <w:tcPr>
            <w:tcW w:type="dxa" w:w="2304"/>
          </w:tcPr>
          <w:p>
            <w:pPr>
              <w:spacing w:after="40"/>
            </w:pPr>
            <w:r/>
            <w:r>
              <w:rPr>
                <w:rFonts w:ascii="Times New Roman" w:hAnsi="Times New Roman" w:cs="Times New Roman"/>
                <w:b w:val="0"/>
                <w:i w:val="0"/>
                <w:sz w:val="19"/>
                <w:u w:val="none"/>
              </w:rPr>
              <w:t>Commercial finance</w:t>
            </w:r>
          </w:p>
        </w:tc>
      </w:tr>
    </w:tbl>
    <w:p>
      <w:pPr/>
    </w:p>
    <w:p>
      <w:pPr>
        <w:spacing w:before="0" w:after="120" w:line="276" w:lineRule="auto"/>
      </w:pPr>
      <w:r>
        <w:rPr>
          <w:rFonts w:ascii="Times New Roman" w:hAnsi="Times New Roman" w:cs="Times New Roman"/>
          <w:b w:val="0"/>
          <w:i w:val="0"/>
          <w:u w:val="none"/>
        </w:rPr>
        <w:t>Each report shall be produced from live Production Service data and shall match the calculation specified for it in Annex A in no material respect. Material means a difference of more than 2% on any reported measure.</w:t>
      </w:r>
    </w:p>
    <w:p>
      <w:pPr>
        <w:spacing w:before="0" w:after="120" w:line="276" w:lineRule="auto"/>
      </w:pPr>
      <w:r>
        <w:rPr>
          <w:rFonts w:ascii="Times New Roman" w:hAnsi="Times New Roman" w:cs="Times New Roman"/>
          <w:b w:val="0"/>
          <w:i w:val="0"/>
          <w:u w:val="none"/>
        </w:rPr>
        <w:t>SIGNED for and on behalf of the Parties on the date first written above.</w:t>
      </w:r>
    </w:p>
    <w:tbl>
      <w:tblPr>
        <w:tblStyle w:val="TableGrid"/>
        <w:tblW w:type="auto" w:w="0"/>
        <w:tblLook w:firstColumn="1" w:firstRow="1" w:lastColumn="0" w:lastRow="0" w:noHBand="0" w:noVBand="1" w:val="04A0"/>
      </w:tblPr>
      <w:tblGrid>
        <w:gridCol w:w="3024"/>
        <w:gridCol w:w="3024"/>
        <w:gridCol w:w="3024"/>
      </w:tblGrid>
      <w:tr>
        <w:tc>
          <w:tcPr>
            <w:tcW w:type="dxa" w:w="1872"/>
          </w:tcPr>
          <w:p>
            <w:pPr>
              <w:spacing w:after="40"/>
            </w:pPr>
            <w:r/>
            <w:r>
              <w:rPr>
                <w:rFonts w:ascii="Times New Roman" w:hAnsi="Times New Roman" w:cs="Times New Roman"/>
                <w:b/>
                <w:i w:val="0"/>
                <w:sz w:val="19"/>
                <w:u w:val="none"/>
              </w:rPr>
            </w:r>
          </w:p>
        </w:tc>
        <w:tc>
          <w:tcPr>
            <w:tcW w:type="dxa" w:w="3744"/>
          </w:tcPr>
          <w:p>
            <w:pPr>
              <w:spacing w:after="40"/>
            </w:pPr>
            <w:r/>
            <w:r>
              <w:rPr>
                <w:rFonts w:ascii="Times New Roman" w:hAnsi="Times New Roman" w:cs="Times New Roman"/>
                <w:b/>
                <w:i w:val="0"/>
                <w:sz w:val="19"/>
                <w:u w:val="none"/>
              </w:rPr>
              <w:t>Cloudberry Software Limited</w:t>
            </w:r>
          </w:p>
        </w:tc>
        <w:tc>
          <w:tcPr>
            <w:tcW w:type="dxa" w:w="3744"/>
          </w:tcPr>
          <w:p>
            <w:pPr>
              <w:spacing w:after="40"/>
            </w:pPr>
            <w:r/>
            <w:r>
              <w:rPr>
                <w:rFonts w:ascii="Times New Roman" w:hAnsi="Times New Roman" w:cs="Times New Roman"/>
                <w:b/>
                <w:i w:val="0"/>
                <w:sz w:val="19"/>
                <w:u w:val="none"/>
              </w:rPr>
              <w:t>Brackenhill Retail Limited</w:t>
            </w:r>
          </w:p>
        </w:tc>
      </w:tr>
      <w:tr>
        <w:tc>
          <w:tcPr>
            <w:tcW w:type="dxa" w:w="1872"/>
          </w:tcPr>
          <w:p>
            <w:pPr>
              <w:spacing w:after="40"/>
            </w:pPr>
            <w:r/>
            <w:r>
              <w:rPr>
                <w:rFonts w:ascii="Times New Roman" w:hAnsi="Times New Roman" w:cs="Times New Roman"/>
                <w:b w:val="0"/>
                <w:i w:val="0"/>
                <w:sz w:val="19"/>
                <w:u w:val="none"/>
              </w:rPr>
              <w:t>Signature</w:t>
            </w:r>
          </w:p>
        </w:tc>
        <w:tc>
          <w:tcPr>
            <w:tcW w:type="dxa" w:w="3744"/>
          </w:tcPr>
          <w:p>
            <w:pPr>
              <w:spacing w:after="40"/>
            </w:pPr>
            <w:r/>
            <w:r>
              <w:rPr>
                <w:rFonts w:ascii="Times New Roman" w:hAnsi="Times New Roman" w:cs="Times New Roman"/>
                <w:b w:val="0"/>
                <w:i w:val="0"/>
                <w:sz w:val="19"/>
                <w:u w:val="none"/>
              </w:rPr>
            </w:r>
          </w:p>
        </w:tc>
        <w:tc>
          <w:tcPr>
            <w:tcW w:type="dxa" w:w="3744"/>
          </w:tcPr>
          <w:p>
            <w:pPr>
              <w:spacing w:after="40"/>
            </w:pPr>
            <w:r/>
            <w:r>
              <w:rPr>
                <w:rFonts w:ascii="Times New Roman" w:hAnsi="Times New Roman" w:cs="Times New Roman"/>
                <w:b w:val="0"/>
                <w:i w:val="0"/>
                <w:sz w:val="19"/>
                <w:u w:val="none"/>
              </w:rPr>
            </w:r>
          </w:p>
        </w:tc>
      </w:tr>
      <w:tr>
        <w:tc>
          <w:tcPr>
            <w:tcW w:type="dxa" w:w="1872"/>
          </w:tcPr>
          <w:p>
            <w:pPr>
              <w:spacing w:after="40"/>
            </w:pPr>
            <w:r/>
            <w:r>
              <w:rPr>
                <w:rFonts w:ascii="Times New Roman" w:hAnsi="Times New Roman" w:cs="Times New Roman"/>
                <w:b w:val="0"/>
                <w:i w:val="0"/>
                <w:sz w:val="19"/>
                <w:u w:val="none"/>
              </w:rPr>
              <w:t>Name</w:t>
            </w:r>
          </w:p>
        </w:tc>
        <w:tc>
          <w:tcPr>
            <w:tcW w:type="dxa" w:w="3744"/>
          </w:tcPr>
          <w:p>
            <w:pPr>
              <w:spacing w:after="40"/>
            </w:pPr>
            <w:r/>
            <w:r>
              <w:rPr>
                <w:rFonts w:ascii="Times New Roman" w:hAnsi="Times New Roman" w:cs="Times New Roman"/>
                <w:b w:val="0"/>
                <w:i w:val="0"/>
                <w:sz w:val="19"/>
                <w:u w:val="none"/>
              </w:rPr>
              <w:t>Órlaith Ní Bhraonáin</w:t>
            </w:r>
          </w:p>
        </w:tc>
        <w:tc>
          <w:tcPr>
            <w:tcW w:type="dxa" w:w="3744"/>
          </w:tcPr>
          <w:p>
            <w:pPr>
              <w:spacing w:after="40"/>
            </w:pPr>
            <w:r/>
            <w:r>
              <w:rPr>
                <w:rFonts w:ascii="Times New Roman" w:hAnsi="Times New Roman" w:cs="Times New Roman"/>
                <w:b w:val="0"/>
                <w:i w:val="0"/>
                <w:sz w:val="19"/>
                <w:u w:val="none"/>
              </w:rPr>
              <w:t>Halima Sattar</w:t>
            </w:r>
          </w:p>
        </w:tc>
      </w:tr>
      <w:tr>
        <w:tc>
          <w:tcPr>
            <w:tcW w:type="dxa" w:w="1872"/>
          </w:tcPr>
          <w:p>
            <w:pPr>
              <w:spacing w:after="40"/>
            </w:pPr>
            <w:r/>
            <w:r>
              <w:rPr>
                <w:rFonts w:ascii="Times New Roman" w:hAnsi="Times New Roman" w:cs="Times New Roman"/>
                <w:b w:val="0"/>
                <w:i w:val="0"/>
                <w:sz w:val="19"/>
                <w:u w:val="none"/>
              </w:rPr>
              <w:t>Title</w:t>
            </w:r>
          </w:p>
        </w:tc>
        <w:tc>
          <w:tcPr>
            <w:tcW w:type="dxa" w:w="3744"/>
          </w:tcPr>
          <w:p>
            <w:pPr>
              <w:spacing w:after="40"/>
            </w:pPr>
            <w:r/>
            <w:r>
              <w:rPr>
                <w:rFonts w:ascii="Times New Roman" w:hAnsi="Times New Roman" w:cs="Times New Roman"/>
                <w:b w:val="0"/>
                <w:i w:val="0"/>
                <w:sz w:val="19"/>
                <w:u w:val="none"/>
              </w:rPr>
              <w:t>Chief Commercial Officer</w:t>
            </w:r>
          </w:p>
        </w:tc>
        <w:tc>
          <w:tcPr>
            <w:tcW w:type="dxa" w:w="3744"/>
          </w:tcPr>
          <w:p>
            <w:pPr>
              <w:spacing w:after="40"/>
            </w:pPr>
            <w:r/>
            <w:r>
              <w:rPr>
                <w:rFonts w:ascii="Times New Roman" w:hAnsi="Times New Roman" w:cs="Times New Roman"/>
                <w:b w:val="0"/>
                <w:i w:val="0"/>
                <w:sz w:val="19"/>
                <w:u w:val="none"/>
              </w:rPr>
              <w:t>Chief Operating Officer</w:t>
            </w:r>
          </w:p>
        </w:tc>
      </w:tr>
      <w:tr>
        <w:tc>
          <w:tcPr>
            <w:tcW w:type="dxa" w:w="1872"/>
          </w:tcPr>
          <w:p>
            <w:pPr>
              <w:spacing w:after="40"/>
            </w:pPr>
            <w:r/>
            <w:r>
              <w:rPr>
                <w:rFonts w:ascii="Times New Roman" w:hAnsi="Times New Roman" w:cs="Times New Roman"/>
                <w:b w:val="0"/>
                <w:i w:val="0"/>
                <w:sz w:val="19"/>
                <w:u w:val="none"/>
              </w:rPr>
              <w:t>Date</w:t>
            </w:r>
          </w:p>
        </w:tc>
        <w:tc>
          <w:tcPr>
            <w:tcW w:type="dxa" w:w="3744"/>
          </w:tcPr>
          <w:p>
            <w:pPr>
              <w:spacing w:after="40"/>
            </w:pPr>
            <w:r/>
            <w:r>
              <w:rPr>
                <w:rFonts w:ascii="Times New Roman" w:hAnsi="Times New Roman" w:cs="Times New Roman"/>
                <w:b w:val="0"/>
                <w:i w:val="0"/>
                <w:sz w:val="19"/>
                <w:u w:val="none"/>
              </w:rPr>
            </w:r>
          </w:p>
        </w:tc>
        <w:tc>
          <w:tcPr>
            <w:tcW w:type="dxa" w:w="3744"/>
          </w:tcPr>
          <w:p>
            <w:pPr>
              <w:spacing w:after="40"/>
            </w:pPr>
            <w:r/>
            <w:r>
              <w:rPr>
                <w:rFonts w:ascii="Times New Roman" w:hAnsi="Times New Roman" w:cs="Times New Roman"/>
                <w:b w:val="0"/>
                <w:i w:val="0"/>
                <w:sz w:val="19"/>
                <w:u w:val="none"/>
              </w:rPr>
            </w:r>
          </w:p>
        </w:tc>
      </w:tr>
    </w:tbl>
    <w:p>
      <w:pP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b w:val="0"/>
        <w:i w:val="0"/>
        <w:sz w:val="17"/>
        <w:u w:val="none"/>
      </w:rPr>
      <w:t xml:space="preserve">SOW 02 — Cloudberry Software Limited / Brackenhill Retail Limited — page </w:t>
    </w:r>
    <w:r>
      <w:rPr>
        <w:rFonts w:ascii="Calibri" w:hAnsi="Calibri" w:cs="Calibri"/>
        <w:b w:val="0"/>
        <w:i w:val="0"/>
        <w:sz w:val="17"/>
        <w:u w:val="none"/>
      </w:rPr>
      <w:t xml:space="preserve"> </w:t>
    </w:r>
    <w:r>
      <w:rPr>
        <w:rFonts w:ascii="Calibri" w:hAnsi="Calibri"/>
        <w:sz w:val="17"/>
      </w:rPr>
      <w:fldSimple w:instr=" PAGE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s="Calibri"/>
        <w:b w:val="0"/>
        <w:i w:val="0"/>
        <w:caps/>
        <w:sz w:val="17"/>
        <w:u w:val="none"/>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multilevel"/>
    <w:tmpl w:val="0A0B0C0D"/>
    <w:lvl w:ilvl="0">
      <w:start w:val="1"/>
      <w:numFmt w:val="decimal"/>
      <w:lvlText w:val="%1."/>
      <w:lvlJc w:val="left"/>
      <w:pPr>
        <w:ind w:left="0" w:firstLine="0"/>
      </w:pPr>
      <w:rPr>
        <w:b/>
      </w:rPr>
    </w:lvl>
    <w:lvl w:ilvl="1">
      <w:start w:val="1"/>
      <w:numFmt w:val="decimal"/>
      <w:lvlText w:val="%1.%2"/>
      <w:lvlJc w:val="left"/>
      <w:pPr>
        <w:ind w:left="576" w:hanging="576"/>
      </w:pPr>
    </w:lvl>
    <w:lvl w:ilvl="2">
      <w:start w:val="1"/>
      <w:numFmt w:val="lowerLetter"/>
      <w:lvlText w:val="(%3)"/>
      <w:lvlJc w:val="left"/>
      <w:pPr>
        <w:ind w:left="1152" w:hanging="576"/>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CS-4417-SOW-02</dc:title>
  <dc:subject/>
  <dc:creator/>
  <cp:keywords/>
  <dc:description/>
  <cp:lastModifiedBy/>
  <cp:revision>1</cp:revision>
  <dcterms:created xsi:type="dcterms:W3CDTF">2026-10-05T09:00:00Z</dcterms:created>
  <dcterms:modified xsi:type="dcterms:W3CDTF">2026-10-05T09:00:00Z</dcterms:modified>
  <cp:category/>
</cp:coreProperties>
</file>