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Master Services Agreement</w:t>
      </w:r>
    </w:p>
    <w:p>
      <w:r>
        <w:t xml:space="preserve">This Master Services Agreement is entered into as of January 1, 2026 by and between Northwind Customer Group LLC ("Customer") and Pallas Cloud Services GmbH ("Supplier").</w:t>
      </w:r>
    </w:p>
    <w:p>
      <w:pPr>
        <w:pStyle w:val="Heading1"/>
      </w:pPr>
      <w:r>
        <w:t xml:space="preserve">1. Termination</w:t>
      </w:r>
    </w:p>
    <w:p>
      <w:r>
        <w:t xml:space="preserve">Either Party may terminate this Agreement for convenience upon thirty (30) days' prior written notice to the other Party. The liability of Supplier under this Agreement for breach of this Section is uncapped and unlimited.</w:t>
      </w:r>
    </w:p>
    <w:sectPr/>
  </w:body>
</w:document>
</file>

<file path=word/styles.xml><?xml version="1.0" encoding="utf-8"?>
<w:styles xmlns:w="http://schemas.openxmlformats.org/wordprocessingml/2006/main">
  <w:style w:type="paragraph" w:styleId="Title">
    <w:name w:val="Title"/>
  </w:style>
  <w:style w:type="paragraph" w:styleId="Heading1">
    <w:name w:val="heading 1"/>
  </w:style>
  <w:style w:type="paragraph" w:styleId="Normal">
    <w:name w:val="Normal"/>
  </w:style>
</w:styles>
</file>