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Consulting Agreement</w:t>
      </w:r>
    </w:p>
    <w:p>
      <w:pPr>
        <w:pStyle w:val="Normal"/>
      </w:pPr>
      <w:r>
        <w:t xml:space="preserve">This Consulting Agreement is entered into as of February 2, 2026 by and between Acme Corp and Beta Ltd (each a "Party", together the "Parties"). Each Party shall perform its obligations in good faith.</w:t>
      </w:r>
    </w:p>
    <w:p>
      <w:pPr>
        <w:pStyle w:val="Heading1"/>
      </w:pPr>
      <w:r>
        <w:t xml:space="preserve">1. Fees</w:t>
      </w:r>
    </w:p>
    <w:p>
      <w:pPr>
        <w:pStyle w:val="Normal"/>
      </w:pPr>
      <w:r>
        <w:t xml:space="preserve">1.1 The Client shall pay the Consultant the fees stated in each statement of work. The terms of this Section 1 apply to all statements of work.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