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Data Processing Addendum</w:t>
      </w:r>
    </w:p>
    <w:p>
      <w:pPr>
        <w:pStyle w:val="Heading1"/>
      </w:pPr>
      <w:r>
        <w:t xml:space="preserve">Scope</w:t>
      </w:r>
    </w:p>
    <w:p>
      <w:r>
        <w:t xml:space="preserve">This Addendum governs processing of personal data by Processor on behalf of Controller in connection with the services.</w:t>
      </w:r>
    </w:p>
    <w:p>
      <w:pPr>
        <w:pStyle w:val="Heading1"/>
      </w:pPr>
      <w:r>
        <w:t xml:space="preserve">Processing Instructions</w:t>
      </w:r>
    </w:p>
    <w:p>
      <w:r>
        <w:t xml:space="preserve">Processor will process personal data only on documented instructions from Controller.</w:t>
      </w:r>
    </w:p>
    <w:p>
      <w:r>
        <w:t xml:space="preserve">Processor will not sell personal data or use it for its own purposes.</w:t>
      </w:r>
    </w:p>
    <w:p>
      <w:pPr>
        <w:pStyle w:val="Heading1"/>
      </w:pPr>
      <w:r>
        <w:t xml:space="preserve">Security</w:t>
      </w:r>
    </w:p>
    <w:p>
      <w:r>
        <w:t xml:space="preserve">Processor will maintain appropriate technical and organisational measures.</w:t>
      </w:r>
    </w:p>
    <w:p>
      <w:r>
        <w:t xml:space="preserve">Processor will notify Controller without undue delay on becoming aware of a personal data breach.</w:t>
      </w:r>
    </w:p>
    <w:p>
      <w:pPr>
        <w:pStyle w:val="Heading1"/>
      </w:pPr>
      <w:r>
        <w:t xml:space="preserve">Subprocessors</w:t>
      </w:r>
    </w:p>
    <w:p>
      <w:r>
        <w:t xml:space="preserve">Processor may engage subprocessors with prior general written authorisation.</w:t>
      </w:r>
    </w:p>
    <w:p>
      <w:r>
        <w:t xml:space="preserve">Processor remains responsible for each subprocessor performance.</w:t>
      </w:r>
    </w:p>
    <w:p>
      <w:pPr>
        <w:pStyle w:val="Heading1"/>
      </w:pPr>
      <w:r>
        <w:t xml:space="preserve">Data Subject Rights</w:t>
      </w:r>
    </w:p>
    <w:p>
      <w:r>
        <w:t xml:space="preserve">Processor will assist Controller in responding to data subject requests.</w:t>
      </w:r>
    </w:p>
    <w:p>
      <w:pPr>
        <w:pStyle w:val="Heading1"/>
      </w:pPr>
      <w:r>
        <w:t xml:space="preserve">Return and Deletion</w:t>
      </w:r>
    </w:p>
    <w:p>
      <w:r>
        <w:t xml:space="preserve">On termination Processor will return or delete personal data within thirty days.</w:t>
      </w:r>
    </w:p>
    <w:p>
      <w:pPr>
        <w:pStyle w:val="Heading1"/>
      </w:pPr>
      <w:r>
        <w:t xml:space="preserve">Governing Law</w:t>
      </w:r>
    </w:p>
    <w:p>
      <w:r>
        <w:t xml:space="preserve">This Addendum is governed by the laws of the State of New York.</w:t>
      </w:r>
    </w:p>
    <w:p>
      <w:pPr>
        <w:pStyle w:val="Heading1"/>
      </w:pPr>
      <w:r>
        <w:t xml:space="preserve">Parties</w:t>
      </w:r>
    </w:p>
    <w:p>
      <w:r>
        <w:t xml:space="preserve">Controller: Northstar Systems Inc</w:t>
      </w:r>
    </w:p>
    <w:p>
      <w:r>
        <w:t xml:space="preserve">Processor: Beacon Data Services LLC</w:t>
      </w:r>
    </w:p>
    <w:p>
      <w:pPr>
        <w:pStyle w:val="Heading1"/>
      </w:pPr>
      <w:r>
        <w:t xml:space="preserve">Notice</w:t>
      </w:r>
    </w:p>
    <w:p>
      <w:r>
        <w:t xml:space="preserve">This is a fictional demonstration document. It is not a real agreement and creates no obligation.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