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Walk-Away Playbook</w:t>
      </w:r>
    </w:p>
    <w:tbl>
      <w:tr>
        <w:tc>
          <w:p>
            <w:r>
              <w:t xml:space="preserve">Topic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Fallback</w:t>
            </w:r>
          </w:p>
        </w:tc>
        <w:tc>
          <w:p>
            <w:r>
              <w:t xml:space="preserve">Prohibited</w:t>
            </w:r>
          </w:p>
        </w:tc>
      </w:tr>
      <w:tr>
        <w:tc>
          <w:p>
            <w:r>
              <w:t xml:space="preserve">Limitation of Liability</w:t>
            </w:r>
          </w:p>
        </w:tc>
        <w:tc>
          <w:p>
            <w:r>
              <w:t xml:space="preserve">The total liability of Supplier shall not exceed the fees paid in the preceding 12 months.</w:t>
            </w:r>
          </w:p>
        </w:tc>
        <w:tc>
          <w:p>
            <w:r>
              <w:t xml:space="preserve">The total liability of Supplier shall not exceed two times the fees paid in the preceding 12 months.</w:t>
            </w:r>
          </w:p>
        </w:tc>
        <w:tc>
          <w:p>
            <w:r>
              <w:t xml:space="preserve">Uncapped or unlimited liability is never acceptable</w:t>
            </w:r>
          </w:p>
        </w:tc>
      </w:tr>
      <w:tr>
        <w:tc>
          <w:p>
            <w:r>
              <w:t xml:space="preserve">Termination for convenience</w:t>
            </w:r>
          </w:p>
        </w:tc>
        <w:tc>
          <w:p>
            <w:r>
              <w:t xml:space="preserve">Either party may terminate for convenience on 30 days notice.</w:t>
            </w:r>
          </w:p>
        </w:tc>
        <w:tc>
          <w:p>
            <w:r>
              <w:t xml:space="preserve">Either party may terminate for convenience on 60 days notice.</w:t>
            </w:r>
          </w:p>
        </w:tc>
        <w:tc>
          <w:p>
            <w:r>
              <w:t xml:space="preserve">No termination for convenience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