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Supplier's aggregate liability shall not exceed two times the fees paid in the preceding 12 months.</w:t>
      </w:r>
    </w:p>
    <w:p>
      <w:pPr>
        <w:pStyle w:val="Heading1"/>
      </w:pPr>
      <w:r>
        <w:t xml:space="preserve">2. Confidentiality</w:t>
      </w:r>
    </w:p>
    <w:p>
      <w:pPr>
        <w:pStyle w:val="Normal"/>
      </w:pPr>
      <w:r>
        <w:t xml:space="preserve">2.1 Each Party shall protect the other Party's confidential information with reasonable care.</w:t>
      </w:r>
    </w:p>
    <w:p>
      <w:pPr>
        <w:pStyle w:val="Heading1"/>
      </w:pPr>
      <w:r>
        <w:t xml:space="preserve">3. Term and Survival</w:t>
      </w:r>
    </w:p>
    <w:p>
      <w:pPr>
        <w:pStyle w:val="Normal"/>
      </w:pPr>
      <w:r>
        <w:t xml:space="preserve">3.1 This Agreement starts on the Effective Date and continues for one year.</w:t>
      </w:r>
    </w:p>
    <w:p>
      <w:pPr>
        <w:pStyle w:val="Normal"/>
      </w:pPr>
      <w:r>
        <w:t xml:space="preserve">3.2 Termination does not affect obligations in respect of Confidential Information disclosed before termination.</w:t>
      </w:r>
    </w:p>
    <w:p>
      <w:pPr>
        <w:pStyle w:val="Normal"/>
      </w:pPr>
      <w:r>
        <w:t xml:space="preserve">3.3 The obligations of confidentiality and restricted use continue for three (3) years from the date of each disclosure, and indefinitely in respect of trade secrets.</w:t>
      </w:r>
    </w:p>
    <w:p>
      <w:pPr>
        <w:pStyle w:val="Heading1"/>
      </w:pPr>
      <w:r>
        <w:t xml:space="preserve">4. Governing Law</w:t>
      </w:r>
    </w:p>
    <w:p>
      <w:pPr>
        <w:pStyle w:val="Normal"/>
      </w:pPr>
      <w:r>
        <w:t xml:space="preserve">4.1 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