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Services Amendment</w:t>
      </w:r>
    </w:p>
    <w:p>
      <w:pPr>
        <w:pStyle w:val="Normal"/>
      </w:pPr>
      <w:r>
        <w:t xml:space="preserve">This amendment is entered into as of June 1, 2026 by and between Meridian Media Corp ("Customer") and Bluepeak Software Ltd ("Supplier").</w:t>
      </w:r>
    </w:p>
    <w:p>
      <w:pPr>
        <w:pStyle w:val="Heading1"/>
      </w:pPr>
      <w:r>
        <w:t xml:space="preserve">Limitation of Liability</w:t>
      </w:r>
    </w:p>
    <w:p>
      <w:pPr>
        <w:pStyle w:val="Normal"/>
      </w:pPr>
      <w:r>
        <w:t xml:space="preserve">1.1 Supplier's aggregate liability shall not exceed the Fees paid in the preceding twelve (12) months. Supplier shall further indemnify Customer against third-party intellectual property infringement claims arising from the licensed software.</w:t>
      </w:r>
    </w:p>
    <w:p>
      <w:pPr>
        <w:pStyle w:val="Heading1"/>
      </w:pPr>
      <w:r>
        <w:t xml:space="preserve">Data Protection</w:t>
      </w:r>
    </w:p>
    <w:p>
      <w:pPr>
        <w:pStyle w:val="Normal"/>
      </w:pPr>
      <w:r>
        <w:t xml:space="preserve">2.1 Each Party shall process personal data only on documented instructions from the other Party and shall implement appropriate technical and organizational security measures.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