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Calibri" w:hAnsi="Calibri"/>
          <w:b/>
          <w:caps/>
          <w:color w:val="1F3864"/>
          <w:sz w:val="18"/>
        </w:rPr>
        <w:t>BRAMBER SOFTWARE LIMITED</w:t>
      </w:r>
    </w:p>
    <w:p>
      <w:pPr>
        <w:pBdr>
          <w:top w:val="single" w:sz="18" w:space="1" w:color="1F3864"/>
        </w:pBdr>
        <w:spacing w:after="120"/>
      </w:pPr>
    </w:p>
    <w:p>
      <w:pPr>
        <w:spacing w:before="480" w:after="200"/>
      </w:pPr>
      <w:r>
        <w:rPr>
          <w:rFonts w:ascii="Calibri" w:hAnsi="Calibri"/>
          <w:b/>
          <w:color w:val="1F3864"/>
          <w:sz w:val="56"/>
        </w:rPr>
        <w:t>Commercial Contracts Playbook</w:t>
      </w:r>
    </w:p>
    <w:p>
      <w:pPr>
        <w:spacing w:after="960"/>
      </w:pPr>
      <w:r>
        <w:rPr>
          <w:rFonts w:ascii="Calibri" w:hAnsi="Calibri"/>
          <w:color w:val="404040"/>
          <w:sz w:val="26"/>
        </w:rPr>
        <w:t>Positions, fallbacks and approval routes for customer contracts</w:t>
      </w:r>
    </w:p>
    <w:tbl>
      <w:tblPr>
        <w:tblW w:type="auto" w:w="0"/>
        <w:tblLayout w:type="fixed"/>
        <w:tblCellMar>
          <w:top w:w="80" w:type="dxa"/>
          <w:left w:w="100" w:type="dxa"/>
          <w:bottom w:w="80" w:type="dxa"/>
          <w:right w:w="100" w:type="dxa"/>
        </w:tblCellMar>
        <w:tblLook w:firstColumn="1" w:firstRow="1" w:lastColumn="0" w:lastRow="0" w:noHBand="0" w:noVBand="1" w:val="04A0"/>
      </w:tblPr>
      <w:tblGrid>
        <w:gridCol w:w="4819"/>
        <w:gridCol w:w="4819"/>
      </w:tblGrid>
      <w:tr>
        <w:tc>
          <w:tcPr>
            <w:tcW w:type="dxa" w:w="2438"/>
            <w:shd w:val="clear" w:color="auto" w:fill="EDF1F7"/>
          </w:tcPr>
          <w:p>
            <w:pPr>
              <w:spacing w:after="40"/>
            </w:pPr>
            <w:r>
              <w:rPr>
                <w:rFonts w:ascii="Calibri" w:hAnsi="Calibri"/>
                <w:b/>
                <w:color w:val="595959"/>
                <w:sz w:val="16"/>
              </w:rPr>
              <w:t>VERSION</w:t>
            </w:r>
          </w:p>
        </w:tc>
        <w:tc>
          <w:tcPr>
            <w:tcW w:type="dxa" w:w="6803"/>
          </w:tcPr>
          <w:p>
            <w:pPr>
              <w:spacing w:after="40"/>
            </w:pPr>
            <w:r>
              <w:rPr>
                <w:rFonts w:ascii="Calibri" w:hAnsi="Calibri"/>
                <w:sz w:val="19"/>
              </w:rPr>
              <w:t>4.2</w:t>
            </w:r>
          </w:p>
        </w:tc>
      </w:tr>
      <w:tr>
        <w:tc>
          <w:tcPr>
            <w:tcW w:type="dxa" w:w="2438"/>
            <w:shd w:val="clear" w:color="auto" w:fill="EDF1F7"/>
          </w:tcPr>
          <w:p>
            <w:pPr>
              <w:spacing w:after="40"/>
            </w:pPr>
            <w:r>
              <w:rPr>
                <w:rFonts w:ascii="Calibri" w:hAnsi="Calibri"/>
                <w:b/>
                <w:color w:val="595959"/>
                <w:sz w:val="16"/>
              </w:rPr>
              <w:t>OWNER</w:t>
            </w:r>
          </w:p>
        </w:tc>
        <w:tc>
          <w:tcPr>
            <w:tcW w:type="dxa" w:w="6803"/>
          </w:tcPr>
          <w:p>
            <w:pPr>
              <w:spacing w:after="40"/>
            </w:pPr>
            <w:r>
              <w:rPr>
                <w:rFonts w:ascii="Calibri" w:hAnsi="Calibri"/>
                <w:sz w:val="19"/>
              </w:rPr>
              <w:t>Priya Raghavan, General Counsel</w:t>
            </w:r>
          </w:p>
        </w:tc>
      </w:tr>
      <w:tr>
        <w:tc>
          <w:tcPr>
            <w:tcW w:type="dxa" w:w="2438"/>
            <w:shd w:val="clear" w:color="auto" w:fill="EDF1F7"/>
          </w:tcPr>
          <w:p>
            <w:pPr>
              <w:spacing w:after="40"/>
            </w:pPr>
            <w:r>
              <w:rPr>
                <w:rFonts w:ascii="Calibri" w:hAnsi="Calibri"/>
                <w:b/>
                <w:color w:val="595959"/>
                <w:sz w:val="16"/>
              </w:rPr>
              <w:t>LAST REVIEWED</w:t>
            </w:r>
          </w:p>
        </w:tc>
        <w:tc>
          <w:tcPr>
            <w:tcW w:type="dxa" w:w="6803"/>
          </w:tcPr>
          <w:p>
            <w:pPr>
              <w:spacing w:after="40"/>
            </w:pPr>
            <w:r>
              <w:rPr>
                <w:rFonts w:ascii="Calibri" w:hAnsi="Calibri"/>
                <w:sz w:val="19"/>
              </w:rPr>
              <w:t>14 January 2026</w:t>
            </w:r>
          </w:p>
        </w:tc>
      </w:tr>
      <w:tr>
        <w:tc>
          <w:tcPr>
            <w:tcW w:type="dxa" w:w="2438"/>
            <w:shd w:val="clear" w:color="auto" w:fill="EDF1F7"/>
          </w:tcPr>
          <w:p>
            <w:pPr>
              <w:spacing w:after="40"/>
            </w:pPr>
            <w:r>
              <w:rPr>
                <w:rFonts w:ascii="Calibri" w:hAnsi="Calibri"/>
                <w:b/>
                <w:color w:val="595959"/>
                <w:sz w:val="16"/>
              </w:rPr>
              <w:t>CLASSIFICATION</w:t>
            </w:r>
          </w:p>
        </w:tc>
        <w:tc>
          <w:tcPr>
            <w:tcW w:type="dxa" w:w="6803"/>
          </w:tcPr>
          <w:p>
            <w:pPr>
              <w:spacing w:after="40"/>
            </w:pPr>
            <w:r>
              <w:rPr>
                <w:rFonts w:ascii="Calibri" w:hAnsi="Calibri"/>
                <w:sz w:val="19"/>
              </w:rPr>
              <w:t>Internal — Legal &amp; Commercial</w:t>
            </w:r>
          </w:p>
        </w:tc>
      </w:tr>
      <w:tr>
        <w:tc>
          <w:tcPr>
            <w:tcW w:type="dxa" w:w="2438"/>
            <w:shd w:val="clear" w:color="auto" w:fill="EDF1F7"/>
          </w:tcPr>
          <w:p>
            <w:pPr>
              <w:spacing w:after="40"/>
            </w:pPr>
            <w:r>
              <w:rPr>
                <w:rFonts w:ascii="Calibri" w:hAnsi="Calibri"/>
                <w:b/>
                <w:color w:val="595959"/>
                <w:sz w:val="16"/>
              </w:rPr>
              <w:t>APPLIES TO</w:t>
            </w:r>
          </w:p>
        </w:tc>
        <w:tc>
          <w:tcPr>
            <w:tcW w:type="dxa" w:w="6803"/>
          </w:tcPr>
          <w:p>
            <w:pPr>
              <w:spacing w:after="40"/>
            </w:pPr>
            <w:r>
              <w:rPr>
                <w:rFonts w:ascii="Calibri" w:hAnsi="Calibri"/>
                <w:sz w:val="19"/>
              </w:rPr>
              <w:t>MSA, order forms, statements of work and related supply terms</w:t>
            </w:r>
          </w:p>
        </w:tc>
      </w:tr>
    </w:tbl>
    <w:p/>
    <w:p>
      <w:pPr>
        <w:spacing w:after="0"/>
      </w:pPr>
      <w:r>
        <w:br w:type="page"/>
      </w:r>
    </w:p>
    <w:p>
      <w:pPr>
        <w:pStyle w:val="Heading1"/>
      </w:pPr>
      <w:r>
        <w:t>Purpose</w:t>
      </w:r>
    </w:p>
    <w:p>
      <w:r>
        <w:rPr>
          <w:b w:val="0"/>
          <w:i w:val="0"/>
        </w:rPr>
        <w:t>This playbook is the default position for every commercial contract that Bramber Software Limited signs as supplier. It exists so that Sales, Finance and Legal start from the same answer, and so that a deviation is a decision rather than an accident.</w:t>
      </w:r>
    </w:p>
    <w:p>
      <w:r>
        <w:rPr>
          <w:b w:val="0"/>
          <w:i w:val="0"/>
        </w:rPr>
        <w:t>It covers master services agreements, order forms and statements of work on customer paper, together with the supply-side terms that sit underneath them. It does not cover procurement contracts where Bramber is the customer, employment contracts, or leases. Those have separate guides.</w:t>
      </w:r>
    </w:p>
    <w:p>
      <w:r>
        <w:rPr>
          <w:b w:val="0"/>
          <w:i w:val="0"/>
        </w:rPr>
        <w:t>The playbook is unashamedly commercial. A position is not a rule for its own sake: each one protects a specific exposure that we have priced, insured or accepted. If a counterparty asks for something different, the question is whether the exposure has moved, not whether the words have changed.</w:t>
      </w:r>
    </w:p>
    <w:p>
      <w:pPr>
        <w:pStyle w:val="Heading1"/>
      </w:pPr>
      <w:r>
        <w:t>How to use this playbook</w:t>
      </w:r>
    </w:p>
    <w:p>
      <w:pPr>
        <w:spacing w:after="80"/>
        <w:ind w:left="397" w:hanging="397"/>
      </w:pPr>
      <w:r>
        <w:rPr>
          <w:b/>
          <w:color w:val="1F3864"/>
        </w:rPr>
        <w:t>1.</w:t>
        <w:tab/>
      </w:r>
      <w:r>
        <w:rPr>
          <w:b w:val="0"/>
          <w:i w:val="0"/>
        </w:rPr>
        <w:t>Identify the contract type and the paper. Check whether the counterparty has supplied its own MSA, order form or SOW, or whether we are working from Bramber paper.</w:t>
      </w:r>
    </w:p>
    <w:p>
      <w:pPr>
        <w:spacing w:after="80"/>
        <w:ind w:left="397" w:hanging="397"/>
      </w:pPr>
      <w:r>
        <w:rPr>
          <w:b/>
          <w:color w:val="1F3864"/>
        </w:rPr>
        <w:t>2.</w:t>
        <w:tab/>
      </w:r>
      <w:r>
        <w:rPr>
          <w:b w:val="0"/>
          <w:i w:val="0"/>
        </w:rPr>
        <w:t>Find the topic in the position tables. Each table has an Applies to row, so you can see at a glance whether the position governs an MSA, an order form, an SOW or more than one.</w:t>
      </w:r>
    </w:p>
    <w:p>
      <w:pPr>
        <w:spacing w:after="80"/>
        <w:ind w:left="397" w:hanging="397"/>
      </w:pPr>
      <w:r>
        <w:rPr>
          <w:b/>
          <w:color w:val="1F3864"/>
        </w:rPr>
        <w:t>3.</w:t>
        <w:tab/>
      </w:r>
      <w:r>
        <w:rPr>
          <w:b w:val="0"/>
          <w:i w:val="0"/>
        </w:rPr>
        <w:t>Compare the clause in front of you with Our position. If it matches, record it as standard and move on. Do not redline for style.</w:t>
      </w:r>
    </w:p>
    <w:p>
      <w:pPr>
        <w:spacing w:after="80"/>
        <w:ind w:left="397" w:hanging="397"/>
      </w:pPr>
      <w:r>
        <w:rPr>
          <w:b/>
          <w:color w:val="1F3864"/>
        </w:rPr>
        <w:t>4.</w:t>
        <w:tab/>
      </w:r>
      <w:r>
        <w:rPr>
          <w:b w:val="0"/>
          <w:i w:val="0"/>
        </w:rPr>
        <w:t>If it does not match, look at Fallback. A fallback is pre-approved for the stated contract type, subject to the approver named in the table. Record the deviation in the deal summary.</w:t>
      </w:r>
    </w:p>
    <w:p>
      <w:pPr>
        <w:spacing w:after="80"/>
        <w:ind w:left="397" w:hanging="397"/>
      </w:pPr>
      <w:r>
        <w:rPr>
          <w:b/>
          <w:color w:val="1F3864"/>
        </w:rPr>
        <w:t>5.</w:t>
        <w:tab/>
      </w:r>
      <w:r>
        <w:rPr>
          <w:b w:val="0"/>
          <w:i w:val="0"/>
        </w:rPr>
        <w:t>If the clause reaches Walk-away, stop. Do not negotiate it in the room. Escalate to the named approver with the clause, the commercial context and the revenue at stake.</w:t>
      </w:r>
    </w:p>
    <w:p>
      <w:pPr>
        <w:spacing w:after="80"/>
        <w:ind w:left="397" w:hanging="397"/>
      </w:pPr>
      <w:r>
        <w:rPr>
          <w:b/>
          <w:color w:val="1F3864"/>
        </w:rPr>
        <w:t>6.</w:t>
        <w:tab/>
      </w:r>
      <w:r>
        <w:rPr>
          <w:b w:val="0"/>
          <w:i w:val="0"/>
        </w:rPr>
        <w:t>If the topic is not in this playbook, treat it as UNADDRESSED and send it to the Legal Operations desk. Novel clauses are usually a signal that the counterparty is trying to solve a problem we have not seen; the answer is rarely to accept the first draft.</w:t>
      </w:r>
    </w:p>
    <w:p>
      <w:pPr>
        <w:pStyle w:val="Heading1"/>
      </w:pPr>
      <w:r>
        <w:t>Deviation categories</w:t>
      </w:r>
    </w:p>
    <w:p>
      <w:r>
        <w:rPr>
          <w:b w:val="0"/>
          <w:i w:val="0"/>
        </w:rPr>
        <w:t>Every deviation is recorded under one of seven categories. The category drives the response and the approval route, so use the label rather than a free-text description.</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line="240" w:lineRule="auto"/>
            </w:pPr>
            <w:r>
              <w:rPr>
                <w:b/>
                <w:color w:val="FFFFFF"/>
                <w:sz w:val="17"/>
              </w:rPr>
              <w:t>Category</w:t>
            </w:r>
          </w:p>
        </w:tc>
        <w:tc>
          <w:tcPr>
            <w:tcW w:type="dxa" w:w="6803"/>
            <w:shd w:val="clear" w:color="auto" w:fill="1F3864"/>
          </w:tcPr>
          <w:p>
            <w:pPr>
              <w:spacing w:after="0" w:line="240" w:lineRule="auto"/>
            </w:pPr>
            <w:r>
              <w:rPr>
                <w:b/>
                <w:color w:val="FFFFFF"/>
                <w:sz w:val="17"/>
              </w:rPr>
              <w:t>What it means and what to do</w:t>
            </w:r>
          </w:p>
        </w:tc>
      </w:tr>
      <w:tr>
        <w:trPr>
          <w:cantSplit/>
        </w:trPr>
        <w:tc>
          <w:tcPr>
            <w:tcW w:type="dxa" w:w="2608"/>
          </w:tcPr>
          <w:p>
            <w:pPr>
              <w:spacing w:after="40" w:line="240" w:lineRule="auto"/>
            </w:pPr>
            <w:r>
              <w:rPr>
                <w:b/>
                <w:i w:val="0"/>
                <w:sz w:val="17"/>
              </w:rPr>
              <w:t>WALK_AWAY_BREACH</w:t>
            </w:r>
          </w:p>
        </w:tc>
        <w:tc>
          <w:tcPr>
            <w:tcW w:type="dxa" w:w="6803"/>
          </w:tcPr>
          <w:p>
            <w:pPr>
              <w:spacing w:after="40" w:line="240" w:lineRule="auto"/>
            </w:pPr>
            <w:r>
              <w:rPr>
                <w:b w:val="0"/>
                <w:i w:val="0"/>
                <w:sz w:val="17"/>
              </w:rPr>
              <w:t>The clause crosses a position we will not accept, or removes a protection the deal depends on. Do not sign without GC approval; the default answer is no.</w:t>
            </w:r>
          </w:p>
        </w:tc>
      </w:tr>
      <w:tr>
        <w:trPr>
          <w:cantSplit/>
        </w:trPr>
        <w:tc>
          <w:tcPr>
            <w:tcW w:type="dxa" w:w="2608"/>
          </w:tcPr>
          <w:p>
            <w:pPr>
              <w:spacing w:after="40" w:line="240" w:lineRule="auto"/>
            </w:pPr>
            <w:r>
              <w:rPr>
                <w:b/>
                <w:i w:val="0"/>
                <w:sz w:val="17"/>
              </w:rPr>
              <w:t>NEEDS_FALLBACK</w:t>
            </w:r>
          </w:p>
        </w:tc>
        <w:tc>
          <w:tcPr>
            <w:tcW w:type="dxa" w:w="6803"/>
          </w:tcPr>
          <w:p>
            <w:pPr>
              <w:spacing w:after="40" w:line="240" w:lineRule="auto"/>
            </w:pPr>
            <w:r>
              <w:rPr>
                <w:b w:val="0"/>
                <w:i w:val="0"/>
                <w:sz w:val="17"/>
              </w:rPr>
              <w:t>The clause is outside our preferred position but within a documented fallback. Legal must redraft to the fallback and record the concession.</w:t>
            </w:r>
          </w:p>
        </w:tc>
      </w:tr>
      <w:tr>
        <w:trPr>
          <w:cantSplit/>
        </w:trPr>
        <w:tc>
          <w:tcPr>
            <w:tcW w:type="dxa" w:w="2608"/>
          </w:tcPr>
          <w:p>
            <w:pPr>
              <w:spacing w:after="40" w:line="240" w:lineRule="auto"/>
            </w:pPr>
            <w:r>
              <w:rPr>
                <w:b/>
                <w:i w:val="0"/>
                <w:sz w:val="17"/>
              </w:rPr>
              <w:t>ACCEPTABLE_FALLBACK</w:t>
            </w:r>
          </w:p>
        </w:tc>
        <w:tc>
          <w:tcPr>
            <w:tcW w:type="dxa" w:w="6803"/>
          </w:tcPr>
          <w:p>
            <w:pPr>
              <w:spacing w:after="40" w:line="240" w:lineRule="auto"/>
            </w:pPr>
            <w:r>
              <w:rPr>
                <w:b w:val="0"/>
                <w:i w:val="0"/>
                <w:sz w:val="17"/>
              </w:rPr>
              <w:t>The clause is a fallback we have already approved for this contract type. Note it, but it does not need escalation.</w:t>
            </w:r>
          </w:p>
        </w:tc>
      </w:tr>
      <w:tr>
        <w:trPr>
          <w:cantSplit/>
        </w:trPr>
        <w:tc>
          <w:tcPr>
            <w:tcW w:type="dxa" w:w="2608"/>
          </w:tcPr>
          <w:p>
            <w:pPr>
              <w:spacing w:after="40" w:line="240" w:lineRule="auto"/>
            </w:pPr>
            <w:r>
              <w:rPr>
                <w:b/>
                <w:i w:val="0"/>
                <w:sz w:val="17"/>
              </w:rPr>
              <w:t>MISSING_PROVISION</w:t>
            </w:r>
          </w:p>
        </w:tc>
        <w:tc>
          <w:tcPr>
            <w:tcW w:type="dxa" w:w="6803"/>
          </w:tcPr>
          <w:p>
            <w:pPr>
              <w:spacing w:after="40" w:line="240" w:lineRule="auto"/>
            </w:pPr>
            <w:r>
              <w:rPr>
                <w:b w:val="0"/>
                <w:i w:val="0"/>
                <w:sz w:val="17"/>
              </w:rPr>
              <w:t>A protection we require is absent. The risk is what the document does not say. Add the provision or obtain a written side letter.</w:t>
            </w:r>
          </w:p>
        </w:tc>
      </w:tr>
      <w:tr>
        <w:trPr>
          <w:cantSplit/>
        </w:trPr>
        <w:tc>
          <w:tcPr>
            <w:tcW w:type="dxa" w:w="2608"/>
          </w:tcPr>
          <w:p>
            <w:pPr>
              <w:spacing w:after="40" w:line="240" w:lineRule="auto"/>
            </w:pPr>
            <w:r>
              <w:rPr>
                <w:b/>
                <w:i w:val="0"/>
                <w:sz w:val="17"/>
              </w:rPr>
              <w:t>AMBIGUOUS</w:t>
            </w:r>
          </w:p>
        </w:tc>
        <w:tc>
          <w:tcPr>
            <w:tcW w:type="dxa" w:w="6803"/>
          </w:tcPr>
          <w:p>
            <w:pPr>
              <w:spacing w:after="40" w:line="240" w:lineRule="auto"/>
            </w:pPr>
            <w:r>
              <w:rPr>
                <w:b w:val="0"/>
                <w:i w:val="0"/>
                <w:sz w:val="17"/>
              </w:rPr>
              <w:t>The clause is capable of two or more reasonable readings, or uses a standard we cannot measure. Redraft to an objective test.</w:t>
            </w:r>
          </w:p>
        </w:tc>
      </w:tr>
      <w:tr>
        <w:trPr>
          <w:cantSplit/>
        </w:trPr>
        <w:tc>
          <w:tcPr>
            <w:tcW w:type="dxa" w:w="2608"/>
          </w:tcPr>
          <w:p>
            <w:pPr>
              <w:spacing w:after="40" w:line="240" w:lineRule="auto"/>
            </w:pPr>
            <w:r>
              <w:rPr>
                <w:b/>
                <w:i w:val="0"/>
                <w:sz w:val="17"/>
              </w:rPr>
              <w:t>CROSS_CLAUSE_CONFLICT</w:t>
            </w:r>
          </w:p>
        </w:tc>
        <w:tc>
          <w:tcPr>
            <w:tcW w:type="dxa" w:w="6803"/>
          </w:tcPr>
          <w:p>
            <w:pPr>
              <w:spacing w:after="40" w:line="240" w:lineRule="auto"/>
            </w:pPr>
            <w:r>
              <w:rPr>
                <w:b w:val="0"/>
                <w:i w:val="0"/>
                <w:sz w:val="17"/>
              </w:rPr>
              <w:t>Two provisions in the same deal point in different directions. Resolve the conflict expressly; do not rely on an order of precedence clause to sort it out later.</w:t>
            </w:r>
          </w:p>
        </w:tc>
      </w:tr>
      <w:tr>
        <w:trPr>
          <w:cantSplit/>
        </w:trPr>
        <w:tc>
          <w:tcPr>
            <w:tcW w:type="dxa" w:w="2608"/>
          </w:tcPr>
          <w:p>
            <w:pPr>
              <w:spacing w:after="40" w:line="240" w:lineRule="auto"/>
            </w:pPr>
            <w:r>
              <w:rPr>
                <w:b/>
                <w:i w:val="0"/>
                <w:sz w:val="17"/>
              </w:rPr>
              <w:t>UNADDRESSED_BY_PLAYBOOK</w:t>
            </w:r>
          </w:p>
        </w:tc>
        <w:tc>
          <w:tcPr>
            <w:tcW w:type="dxa" w:w="6803"/>
          </w:tcPr>
          <w:p>
            <w:pPr>
              <w:spacing w:after="40" w:line="240" w:lineRule="auto"/>
            </w:pPr>
            <w:r>
              <w:rPr>
                <w:b w:val="0"/>
                <w:i w:val="0"/>
                <w:sz w:val="17"/>
              </w:rPr>
              <w:t>The topic is outside this guide. Route to the Legal Operations desk for a written position before responding.</w:t>
            </w:r>
          </w:p>
        </w:tc>
      </w:tr>
    </w:tbl>
    <w:p>
      <w:pPr>
        <w:pStyle w:val="Heading1"/>
      </w:pPr>
      <w:r>
        <w:t>Approval matrix</w:t>
      </w:r>
    </w:p>
    <w:p>
      <w:r>
        <w:rPr>
          <w:b w:val="0"/>
          <w:i w:val="0"/>
        </w:rPr>
        <w:t>Approval is about the exposure, not the seniority of the person asking. If a deal triggers more than one row, obtain every approval before the document goes to signature.</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3213"/>
        <w:gridCol w:w="3213"/>
        <w:gridCol w:w="3213"/>
      </w:tblGrid>
      <w:tr>
        <w:trPr>
          <w:tblHeader w:val="true"/>
        </w:trPr>
        <w:tc>
          <w:tcPr>
            <w:tcW w:type="dxa" w:w="3855"/>
            <w:shd w:val="clear" w:color="auto" w:fill="1F3864"/>
          </w:tcPr>
          <w:p>
            <w:pPr>
              <w:spacing w:after="0" w:line="240" w:lineRule="auto"/>
            </w:pPr>
            <w:r>
              <w:rPr>
                <w:b/>
                <w:color w:val="FFFFFF"/>
                <w:sz w:val="17"/>
              </w:rPr>
              <w:t>Scenario</w:t>
            </w:r>
          </w:p>
        </w:tc>
        <w:tc>
          <w:tcPr>
            <w:tcW w:type="dxa" w:w="3175"/>
            <w:shd w:val="clear" w:color="auto" w:fill="1F3864"/>
          </w:tcPr>
          <w:p>
            <w:pPr>
              <w:spacing w:after="0" w:line="240" w:lineRule="auto"/>
            </w:pPr>
            <w:r>
              <w:rPr>
                <w:b/>
                <w:color w:val="FFFFFF"/>
                <w:sz w:val="17"/>
              </w:rPr>
              <w:t>Approver</w:t>
            </w:r>
          </w:p>
        </w:tc>
        <w:tc>
          <w:tcPr>
            <w:tcW w:type="dxa" w:w="2381"/>
            <w:shd w:val="clear" w:color="auto" w:fill="1F3864"/>
          </w:tcPr>
          <w:p>
            <w:pPr>
              <w:spacing w:after="0" w:line="240" w:lineRule="auto"/>
            </w:pPr>
            <w:r>
              <w:rPr>
                <w:b/>
                <w:color w:val="FFFFFF"/>
                <w:sz w:val="17"/>
              </w:rPr>
              <w:t>Threshold</w:t>
            </w:r>
          </w:p>
        </w:tc>
      </w:tr>
      <w:tr>
        <w:trPr>
          <w:cantSplit/>
        </w:trPr>
        <w:tc>
          <w:tcPr>
            <w:tcW w:type="dxa" w:w="3855"/>
          </w:tcPr>
          <w:p>
            <w:pPr>
              <w:spacing w:after="40" w:line="240" w:lineRule="auto"/>
            </w:pPr>
            <w:r>
              <w:rPr>
                <w:b w:val="0"/>
                <w:i w:val="0"/>
                <w:sz w:val="17"/>
              </w:rPr>
              <w:t>Any deviation from a preferred position</w:t>
            </w:r>
          </w:p>
        </w:tc>
        <w:tc>
          <w:tcPr>
            <w:tcW w:type="dxa" w:w="3175"/>
          </w:tcPr>
          <w:p>
            <w:pPr>
              <w:spacing w:after="40" w:line="240" w:lineRule="auto"/>
            </w:pPr>
            <w:r>
              <w:rPr>
                <w:b w:val="0"/>
                <w:i w:val="0"/>
                <w:sz w:val="17"/>
              </w:rPr>
              <w:t>Tom Whitlock, Senior Commercial Counsel</w:t>
            </w:r>
          </w:p>
        </w:tc>
        <w:tc>
          <w:tcPr>
            <w:tcW w:type="dxa" w:w="2381"/>
          </w:tcPr>
          <w:p>
            <w:pPr>
              <w:spacing w:after="40" w:line="240" w:lineRule="auto"/>
            </w:pPr>
            <w:r>
              <w:rPr>
                <w:b w:val="0"/>
                <w:i w:val="0"/>
                <w:sz w:val="17"/>
              </w:rPr>
              <w:t>Record in the deal summary; no threshold</w:t>
            </w:r>
          </w:p>
        </w:tc>
      </w:tr>
      <w:tr>
        <w:trPr>
          <w:cantSplit/>
        </w:trPr>
        <w:tc>
          <w:tcPr>
            <w:tcW w:type="dxa" w:w="3855"/>
          </w:tcPr>
          <w:p>
            <w:pPr>
              <w:spacing w:after="40" w:line="240" w:lineRule="auto"/>
            </w:pPr>
            <w:r>
              <w:rPr>
                <w:b w:val="0"/>
                <w:i w:val="0"/>
                <w:sz w:val="17"/>
              </w:rPr>
              <w:t>Liability cap above 12 months' fees, or any unlimited category beyond LIA-02</w:t>
            </w:r>
          </w:p>
        </w:tc>
        <w:tc>
          <w:tcPr>
            <w:tcW w:type="dxa" w:w="3175"/>
          </w:tcPr>
          <w:p>
            <w:pPr>
              <w:spacing w:after="40" w:line="240" w:lineRule="auto"/>
            </w:pPr>
            <w:r>
              <w:rPr>
                <w:b w:val="0"/>
                <w:i w:val="0"/>
                <w:sz w:val="17"/>
              </w:rPr>
              <w:t>Marcus Feld, CFO, and Priya Raghavan, GC</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Customer ownership of platform or background IP</w:t>
            </w:r>
          </w:p>
        </w:tc>
        <w:tc>
          <w:tcPr>
            <w:tcW w:type="dxa" w:w="3175"/>
          </w:tcPr>
          <w:p>
            <w:pPr>
              <w:spacing w:after="40" w:line="240" w:lineRule="auto"/>
            </w:pPr>
            <w:r>
              <w:rPr>
                <w:b w:val="0"/>
                <w:i w:val="0"/>
                <w:sz w:val="17"/>
              </w:rPr>
              <w:t>Priya Raghavan, GC, and Hannah Voss, CTO</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DPA involving transfers outside the UK or EEA</w:t>
            </w:r>
          </w:p>
        </w:tc>
        <w:tc>
          <w:tcPr>
            <w:tcW w:type="dxa" w:w="3175"/>
          </w:tcPr>
          <w:p>
            <w:pPr>
              <w:spacing w:after="40" w:line="240" w:lineRule="auto"/>
            </w:pPr>
            <w:r>
              <w:rPr>
                <w:b w:val="0"/>
                <w:i w:val="0"/>
                <w:sz w:val="17"/>
              </w:rPr>
              <w:t>Elena Marchetti, DPO</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Audit rights more frequent than annual, or notice shorter than 15 Business Days</w:t>
            </w:r>
          </w:p>
        </w:tc>
        <w:tc>
          <w:tcPr>
            <w:tcW w:type="dxa" w:w="3175"/>
          </w:tcPr>
          <w:p>
            <w:pPr>
              <w:spacing w:after="40" w:line="240" w:lineRule="auto"/>
            </w:pPr>
            <w:r>
              <w:rPr>
                <w:b w:val="0"/>
                <w:i w:val="0"/>
                <w:sz w:val="17"/>
              </w:rPr>
              <w:t>Jonas Reed, CISO, and Tom Whitlock</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Discount above 20% or a price hold beyond 24 months</w:t>
            </w:r>
          </w:p>
        </w:tc>
        <w:tc>
          <w:tcPr>
            <w:tcW w:type="dxa" w:w="3175"/>
          </w:tcPr>
          <w:p>
            <w:pPr>
              <w:spacing w:after="40" w:line="240" w:lineRule="auto"/>
            </w:pPr>
            <w:r>
              <w:rPr>
                <w:b w:val="0"/>
                <w:i w:val="0"/>
                <w:sz w:val="17"/>
              </w:rPr>
              <w:t>Marcus Feld, CFO, and Nadia Iqbal, VP Revenue</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NDA term above 3 years, residuals, or non-solicitation</w:t>
            </w:r>
          </w:p>
        </w:tc>
        <w:tc>
          <w:tcPr>
            <w:tcW w:type="dxa" w:w="3175"/>
          </w:tcPr>
          <w:p>
            <w:pPr>
              <w:spacing w:after="40" w:line="240" w:lineRule="auto"/>
            </w:pPr>
            <w:r>
              <w:rPr>
                <w:b w:val="0"/>
                <w:i w:val="0"/>
                <w:sz w:val="17"/>
              </w:rPr>
              <w:t>Aisha Bello, Commercial Counsel</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Any UNA-01 novel clause</w:t>
            </w:r>
          </w:p>
        </w:tc>
        <w:tc>
          <w:tcPr>
            <w:tcW w:type="dxa" w:w="3175"/>
          </w:tcPr>
          <w:p>
            <w:pPr>
              <w:spacing w:after="40" w:line="240" w:lineRule="auto"/>
            </w:pPr>
            <w:r>
              <w:rPr>
                <w:b w:val="0"/>
                <w:i w:val="0"/>
                <w:sz w:val="17"/>
              </w:rPr>
              <w:t>Priya Raghavan, GC</w:t>
            </w:r>
          </w:p>
        </w:tc>
        <w:tc>
          <w:tcPr>
            <w:tcW w:type="dxa" w:w="2381"/>
          </w:tcPr>
          <w:p>
            <w:pPr>
              <w:spacing w:after="40" w:line="240" w:lineRule="auto"/>
            </w:pPr>
            <w:r>
              <w:rPr>
                <w:b w:val="0"/>
                <w:i w:val="0"/>
                <w:sz w:val="17"/>
              </w:rPr>
              <w:t>Any value</w:t>
            </w:r>
          </w:p>
        </w:tc>
      </w:tr>
      <w:tr>
        <w:trPr>
          <w:cantSplit/>
        </w:trPr>
        <w:tc>
          <w:tcPr>
            <w:tcW w:type="dxa" w:w="3855"/>
          </w:tcPr>
          <w:p>
            <w:pPr>
              <w:spacing w:after="40" w:line="240" w:lineRule="auto"/>
            </w:pPr>
            <w:r>
              <w:rPr>
                <w:b w:val="0"/>
                <w:i w:val="0"/>
                <w:sz w:val="17"/>
              </w:rPr>
              <w:t>Total contract value above £1,000,000</w:t>
            </w:r>
          </w:p>
        </w:tc>
        <w:tc>
          <w:tcPr>
            <w:tcW w:type="dxa" w:w="3175"/>
          </w:tcPr>
          <w:p>
            <w:pPr>
              <w:spacing w:after="40" w:line="240" w:lineRule="auto"/>
            </w:pPr>
            <w:r>
              <w:rPr>
                <w:b w:val="0"/>
                <w:i w:val="0"/>
                <w:sz w:val="17"/>
              </w:rPr>
              <w:t>Priya Raghavan, GC, and Marcus Feld, CFO</w:t>
            </w:r>
          </w:p>
        </w:tc>
        <w:tc>
          <w:tcPr>
            <w:tcW w:type="dxa" w:w="2381"/>
          </w:tcPr>
          <w:p>
            <w:pPr>
              <w:spacing w:after="40" w:line="240" w:lineRule="auto"/>
            </w:pPr>
            <w:r>
              <w:rPr>
                <w:b w:val="0"/>
                <w:i w:val="0"/>
                <w:sz w:val="17"/>
              </w:rPr>
              <w:t>ACV or total contract value</w:t>
            </w:r>
          </w:p>
        </w:tc>
      </w:tr>
      <w:tr>
        <w:trPr>
          <w:cantSplit/>
        </w:trPr>
        <w:tc>
          <w:tcPr>
            <w:tcW w:type="dxa" w:w="3855"/>
          </w:tcPr>
          <w:p>
            <w:pPr>
              <w:spacing w:after="40" w:line="240" w:lineRule="auto"/>
            </w:pPr>
            <w:r>
              <w:rPr>
                <w:b w:val="0"/>
                <w:i w:val="0"/>
                <w:sz w:val="17"/>
              </w:rPr>
              <w:t>Governing law other than England and Wales</w:t>
            </w:r>
          </w:p>
        </w:tc>
        <w:tc>
          <w:tcPr>
            <w:tcW w:type="dxa" w:w="3175"/>
          </w:tcPr>
          <w:p>
            <w:pPr>
              <w:spacing w:after="40" w:line="240" w:lineRule="auto"/>
            </w:pPr>
            <w:r>
              <w:rPr>
                <w:b w:val="0"/>
                <w:i w:val="0"/>
                <w:sz w:val="17"/>
              </w:rPr>
              <w:t>Tom Whitlock and Priya Raghavan</w:t>
            </w:r>
          </w:p>
        </w:tc>
        <w:tc>
          <w:tcPr>
            <w:tcW w:type="dxa" w:w="2381"/>
          </w:tcPr>
          <w:p>
            <w:pPr>
              <w:spacing w:after="40" w:line="240" w:lineRule="auto"/>
            </w:pPr>
            <w:r>
              <w:rPr>
                <w:b w:val="0"/>
                <w:i w:val="0"/>
                <w:sz w:val="17"/>
              </w:rPr>
              <w:t>Any value</w:t>
            </w:r>
          </w:p>
        </w:tc>
      </w:tr>
    </w:tbl>
    <w:p>
      <w:pPr>
        <w:pStyle w:val="Heading1"/>
      </w:pPr>
      <w:r>
        <w:t>Contacts</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3213"/>
        <w:gridCol w:w="3213"/>
        <w:gridCol w:w="3213"/>
      </w:tblGrid>
      <w:tr>
        <w:trPr>
          <w:tblHeader w:val="true"/>
        </w:trPr>
        <w:tc>
          <w:tcPr>
            <w:tcW w:type="dxa" w:w="1928"/>
            <w:shd w:val="clear" w:color="auto" w:fill="1F3864"/>
          </w:tcPr>
          <w:p>
            <w:pPr>
              <w:spacing w:after="0" w:line="240" w:lineRule="auto"/>
            </w:pPr>
            <w:r>
              <w:rPr>
                <w:b/>
                <w:color w:val="FFFFFF"/>
                <w:sz w:val="17"/>
              </w:rPr>
              <w:t>Name</w:t>
            </w:r>
          </w:p>
        </w:tc>
        <w:tc>
          <w:tcPr>
            <w:tcW w:type="dxa" w:w="2381"/>
            <w:shd w:val="clear" w:color="auto" w:fill="1F3864"/>
          </w:tcPr>
          <w:p>
            <w:pPr>
              <w:spacing w:after="0" w:line="240" w:lineRule="auto"/>
            </w:pPr>
            <w:r>
              <w:rPr>
                <w:b/>
                <w:color w:val="FFFFFF"/>
                <w:sz w:val="17"/>
              </w:rPr>
              <w:t>Role</w:t>
            </w:r>
          </w:p>
        </w:tc>
        <w:tc>
          <w:tcPr>
            <w:tcW w:type="dxa" w:w="5102"/>
            <w:shd w:val="clear" w:color="auto" w:fill="1F3864"/>
          </w:tcPr>
          <w:p>
            <w:pPr>
              <w:spacing w:after="0" w:line="240" w:lineRule="auto"/>
            </w:pPr>
            <w:r>
              <w:rPr>
                <w:b/>
                <w:color w:val="FFFFFF"/>
                <w:sz w:val="17"/>
              </w:rPr>
              <w:t>Responsibility</w:t>
            </w:r>
          </w:p>
        </w:tc>
      </w:tr>
      <w:tr>
        <w:trPr>
          <w:cantSplit/>
        </w:trPr>
        <w:tc>
          <w:tcPr>
            <w:tcW w:type="dxa" w:w="1928"/>
          </w:tcPr>
          <w:p>
            <w:pPr>
              <w:spacing w:after="40" w:line="240" w:lineRule="auto"/>
            </w:pPr>
            <w:r>
              <w:rPr>
                <w:b/>
                <w:i w:val="0"/>
                <w:sz w:val="17"/>
              </w:rPr>
              <w:t>Priya Raghavan</w:t>
            </w:r>
          </w:p>
        </w:tc>
        <w:tc>
          <w:tcPr>
            <w:tcW w:type="dxa" w:w="2381"/>
          </w:tcPr>
          <w:p>
            <w:pPr>
              <w:spacing w:after="40" w:line="240" w:lineRule="auto"/>
            </w:pPr>
            <w:r>
              <w:rPr>
                <w:b w:val="0"/>
                <w:i w:val="0"/>
                <w:sz w:val="17"/>
              </w:rPr>
              <w:t>General Counsel</w:t>
            </w:r>
          </w:p>
        </w:tc>
        <w:tc>
          <w:tcPr>
            <w:tcW w:type="dxa" w:w="5102"/>
          </w:tcPr>
          <w:p>
            <w:pPr>
              <w:spacing w:after="40" w:line="240" w:lineRule="auto"/>
            </w:pPr>
            <w:r>
              <w:rPr>
                <w:b w:val="0"/>
                <w:i w:val="0"/>
                <w:sz w:val="17"/>
              </w:rPr>
              <w:t>Playbook owner; final escalation on walk-away positions, IP and liability.</w:t>
            </w:r>
          </w:p>
        </w:tc>
      </w:tr>
      <w:tr>
        <w:trPr>
          <w:cantSplit/>
        </w:trPr>
        <w:tc>
          <w:tcPr>
            <w:tcW w:type="dxa" w:w="1928"/>
          </w:tcPr>
          <w:p>
            <w:pPr>
              <w:spacing w:after="40" w:line="240" w:lineRule="auto"/>
            </w:pPr>
            <w:r>
              <w:rPr>
                <w:b/>
                <w:i w:val="0"/>
                <w:sz w:val="17"/>
              </w:rPr>
              <w:t>Tom Whitlock</w:t>
            </w:r>
          </w:p>
        </w:tc>
        <w:tc>
          <w:tcPr>
            <w:tcW w:type="dxa" w:w="2381"/>
          </w:tcPr>
          <w:p>
            <w:pPr>
              <w:spacing w:after="40" w:line="240" w:lineRule="auto"/>
            </w:pPr>
            <w:r>
              <w:rPr>
                <w:b w:val="0"/>
                <w:i w:val="0"/>
                <w:sz w:val="17"/>
              </w:rPr>
              <w:t>Senior Commercial Counsel</w:t>
            </w:r>
          </w:p>
        </w:tc>
        <w:tc>
          <w:tcPr>
            <w:tcW w:type="dxa" w:w="5102"/>
          </w:tcPr>
          <w:p>
            <w:pPr>
              <w:spacing w:after="40" w:line="240" w:lineRule="auto"/>
            </w:pPr>
            <w:r>
              <w:rPr>
                <w:b w:val="0"/>
                <w:i w:val="0"/>
                <w:sz w:val="17"/>
              </w:rPr>
              <w:t>MSAs, order forms, statements of work, customer paper.</w:t>
            </w:r>
          </w:p>
        </w:tc>
      </w:tr>
      <w:tr>
        <w:trPr>
          <w:cantSplit/>
        </w:trPr>
        <w:tc>
          <w:tcPr>
            <w:tcW w:type="dxa" w:w="1928"/>
          </w:tcPr>
          <w:p>
            <w:pPr>
              <w:spacing w:after="40" w:line="240" w:lineRule="auto"/>
            </w:pPr>
            <w:r>
              <w:rPr>
                <w:b/>
                <w:i w:val="0"/>
                <w:sz w:val="17"/>
              </w:rPr>
              <w:t>Aisha Bello</w:t>
            </w:r>
          </w:p>
        </w:tc>
        <w:tc>
          <w:tcPr>
            <w:tcW w:type="dxa" w:w="2381"/>
          </w:tcPr>
          <w:p>
            <w:pPr>
              <w:spacing w:after="40" w:line="240" w:lineRule="auto"/>
            </w:pPr>
            <w:r>
              <w:rPr>
                <w:b w:val="0"/>
                <w:i w:val="0"/>
                <w:sz w:val="17"/>
              </w:rPr>
              <w:t>Commercial Counsel</w:t>
            </w:r>
          </w:p>
        </w:tc>
        <w:tc>
          <w:tcPr>
            <w:tcW w:type="dxa" w:w="5102"/>
          </w:tcPr>
          <w:p>
            <w:pPr>
              <w:spacing w:after="40" w:line="240" w:lineRule="auto"/>
            </w:pPr>
            <w:r>
              <w:rPr>
                <w:b w:val="0"/>
                <w:i w:val="0"/>
                <w:sz w:val="17"/>
              </w:rPr>
              <w:t>NDAs, vendor contracts, marketing and partner agreements.</w:t>
            </w:r>
          </w:p>
        </w:tc>
      </w:tr>
      <w:tr>
        <w:trPr>
          <w:cantSplit/>
        </w:trPr>
        <w:tc>
          <w:tcPr>
            <w:tcW w:type="dxa" w:w="1928"/>
          </w:tcPr>
          <w:p>
            <w:pPr>
              <w:spacing w:after="40" w:line="240" w:lineRule="auto"/>
            </w:pPr>
            <w:r>
              <w:rPr>
                <w:b/>
                <w:i w:val="0"/>
                <w:sz w:val="17"/>
              </w:rPr>
              <w:t>Elena Marchetti</w:t>
            </w:r>
          </w:p>
        </w:tc>
        <w:tc>
          <w:tcPr>
            <w:tcW w:type="dxa" w:w="2381"/>
          </w:tcPr>
          <w:p>
            <w:pPr>
              <w:spacing w:after="40" w:line="240" w:lineRule="auto"/>
            </w:pPr>
            <w:r>
              <w:rPr>
                <w:b w:val="0"/>
                <w:i w:val="0"/>
                <w:sz w:val="17"/>
              </w:rPr>
              <w:t>Data Protection Officer</w:t>
            </w:r>
          </w:p>
        </w:tc>
        <w:tc>
          <w:tcPr>
            <w:tcW w:type="dxa" w:w="5102"/>
          </w:tcPr>
          <w:p>
            <w:pPr>
              <w:spacing w:after="40" w:line="240" w:lineRule="auto"/>
            </w:pPr>
            <w:r>
              <w:rPr>
                <w:b w:val="0"/>
                <w:i w:val="0"/>
                <w:sz w:val="17"/>
              </w:rPr>
              <w:t>DPAs, international transfers, security incidents, sub-processors.</w:t>
            </w:r>
          </w:p>
        </w:tc>
      </w:tr>
      <w:tr>
        <w:trPr>
          <w:cantSplit/>
        </w:trPr>
        <w:tc>
          <w:tcPr>
            <w:tcW w:type="dxa" w:w="1928"/>
          </w:tcPr>
          <w:p>
            <w:pPr>
              <w:spacing w:after="40" w:line="240" w:lineRule="auto"/>
            </w:pPr>
            <w:r>
              <w:rPr>
                <w:b/>
                <w:i w:val="0"/>
                <w:sz w:val="17"/>
              </w:rPr>
              <w:t>Jonas Reed</w:t>
            </w:r>
          </w:p>
        </w:tc>
        <w:tc>
          <w:tcPr>
            <w:tcW w:type="dxa" w:w="2381"/>
          </w:tcPr>
          <w:p>
            <w:pPr>
              <w:spacing w:after="40" w:line="240" w:lineRule="auto"/>
            </w:pPr>
            <w:r>
              <w:rPr>
                <w:b w:val="0"/>
                <w:i w:val="0"/>
                <w:sz w:val="17"/>
              </w:rPr>
              <w:t>Director of Information Security</w:t>
            </w:r>
          </w:p>
        </w:tc>
        <w:tc>
          <w:tcPr>
            <w:tcW w:type="dxa" w:w="5102"/>
          </w:tcPr>
          <w:p>
            <w:pPr>
              <w:spacing w:after="40" w:line="240" w:lineRule="auto"/>
            </w:pPr>
            <w:r>
              <w:rPr>
                <w:b w:val="0"/>
                <w:i w:val="0"/>
                <w:sz w:val="17"/>
              </w:rPr>
              <w:t>Security schedules, audit scope, penetration testing, certifications.</w:t>
            </w:r>
          </w:p>
        </w:tc>
      </w:tr>
      <w:tr>
        <w:trPr>
          <w:cantSplit/>
        </w:trPr>
        <w:tc>
          <w:tcPr>
            <w:tcW w:type="dxa" w:w="1928"/>
          </w:tcPr>
          <w:p>
            <w:pPr>
              <w:spacing w:after="40" w:line="240" w:lineRule="auto"/>
            </w:pPr>
            <w:r>
              <w:rPr>
                <w:b/>
                <w:i w:val="0"/>
                <w:sz w:val="17"/>
              </w:rPr>
              <w:t>Marcus Feld</w:t>
            </w:r>
          </w:p>
        </w:tc>
        <w:tc>
          <w:tcPr>
            <w:tcW w:type="dxa" w:w="2381"/>
          </w:tcPr>
          <w:p>
            <w:pPr>
              <w:spacing w:after="40" w:line="240" w:lineRule="auto"/>
            </w:pPr>
            <w:r>
              <w:rPr>
                <w:b w:val="0"/>
                <w:i w:val="0"/>
                <w:sz w:val="17"/>
              </w:rPr>
              <w:t>Chief Financial Officer</w:t>
            </w:r>
          </w:p>
        </w:tc>
        <w:tc>
          <w:tcPr>
            <w:tcW w:type="dxa" w:w="5102"/>
          </w:tcPr>
          <w:p>
            <w:pPr>
              <w:spacing w:after="40" w:line="240" w:lineRule="auto"/>
            </w:pPr>
            <w:r>
              <w:rPr>
                <w:b w:val="0"/>
                <w:i w:val="0"/>
                <w:sz w:val="17"/>
              </w:rPr>
              <w:t>Liability, insurance, pricing, payment terms and credit risk.</w:t>
            </w:r>
          </w:p>
        </w:tc>
      </w:tr>
      <w:tr>
        <w:trPr>
          <w:cantSplit/>
        </w:trPr>
        <w:tc>
          <w:tcPr>
            <w:tcW w:type="dxa" w:w="1928"/>
          </w:tcPr>
          <w:p>
            <w:pPr>
              <w:spacing w:after="40" w:line="240" w:lineRule="auto"/>
            </w:pPr>
            <w:r>
              <w:rPr>
                <w:b/>
                <w:i w:val="0"/>
                <w:sz w:val="17"/>
              </w:rPr>
              <w:t>Nadia Iqbal</w:t>
            </w:r>
          </w:p>
        </w:tc>
        <w:tc>
          <w:tcPr>
            <w:tcW w:type="dxa" w:w="2381"/>
          </w:tcPr>
          <w:p>
            <w:pPr>
              <w:spacing w:after="40" w:line="240" w:lineRule="auto"/>
            </w:pPr>
            <w:r>
              <w:rPr>
                <w:b w:val="0"/>
                <w:i w:val="0"/>
                <w:sz w:val="17"/>
              </w:rPr>
              <w:t>VP Revenue</w:t>
            </w:r>
          </w:p>
        </w:tc>
        <w:tc>
          <w:tcPr>
            <w:tcW w:type="dxa" w:w="5102"/>
          </w:tcPr>
          <w:p>
            <w:pPr>
              <w:spacing w:after="40" w:line="240" w:lineRule="auto"/>
            </w:pPr>
            <w:r>
              <w:rPr>
                <w:b w:val="0"/>
                <w:i w:val="0"/>
                <w:sz w:val="17"/>
              </w:rPr>
              <w:t>Commercial discounts, renewals and non-standard pricing.</w:t>
            </w:r>
          </w:p>
        </w:tc>
      </w:tr>
      <w:tr>
        <w:trPr>
          <w:cantSplit/>
        </w:trPr>
        <w:tc>
          <w:tcPr>
            <w:tcW w:type="dxa" w:w="1928"/>
          </w:tcPr>
          <w:p>
            <w:pPr>
              <w:spacing w:after="40" w:line="240" w:lineRule="auto"/>
            </w:pPr>
            <w:r>
              <w:rPr>
                <w:b/>
                <w:i w:val="0"/>
                <w:sz w:val="17"/>
              </w:rPr>
              <w:t>Hannah Voss</w:t>
            </w:r>
          </w:p>
        </w:tc>
        <w:tc>
          <w:tcPr>
            <w:tcW w:type="dxa" w:w="2381"/>
          </w:tcPr>
          <w:p>
            <w:pPr>
              <w:spacing w:after="40" w:line="240" w:lineRule="auto"/>
            </w:pPr>
            <w:r>
              <w:rPr>
                <w:b w:val="0"/>
                <w:i w:val="0"/>
                <w:sz w:val="17"/>
              </w:rPr>
              <w:t>Chief Technology Officer</w:t>
            </w:r>
          </w:p>
        </w:tc>
        <w:tc>
          <w:tcPr>
            <w:tcW w:type="dxa" w:w="5102"/>
          </w:tcPr>
          <w:p>
            <w:pPr>
              <w:spacing w:after="40" w:line="240" w:lineRule="auto"/>
            </w:pPr>
            <w:r>
              <w:rPr>
                <w:b w:val="0"/>
                <w:i w:val="0"/>
                <w:sz w:val="17"/>
              </w:rPr>
              <w:t>Product commitments, IP, roadmap and technical dependencies.</w:t>
            </w:r>
          </w:p>
        </w:tc>
      </w:tr>
      <w:tr>
        <w:trPr>
          <w:cantSplit/>
        </w:trPr>
        <w:tc>
          <w:tcPr>
            <w:tcW w:type="dxa" w:w="1928"/>
          </w:tcPr>
          <w:p>
            <w:pPr>
              <w:spacing w:after="40" w:line="240" w:lineRule="auto"/>
            </w:pPr>
            <w:r>
              <w:rPr>
                <w:b/>
                <w:i w:val="0"/>
                <w:sz w:val="17"/>
              </w:rPr>
              <w:t>Fiona Marsh</w:t>
            </w:r>
          </w:p>
        </w:tc>
        <w:tc>
          <w:tcPr>
            <w:tcW w:type="dxa" w:w="2381"/>
          </w:tcPr>
          <w:p>
            <w:pPr>
              <w:spacing w:after="40" w:line="240" w:lineRule="auto"/>
            </w:pPr>
            <w:r>
              <w:rPr>
                <w:b w:val="0"/>
                <w:i w:val="0"/>
                <w:sz w:val="17"/>
              </w:rPr>
              <w:t>Contracts Manager, Legal Operations</w:t>
            </w:r>
          </w:p>
        </w:tc>
        <w:tc>
          <w:tcPr>
            <w:tcW w:type="dxa" w:w="5102"/>
          </w:tcPr>
          <w:p>
            <w:pPr>
              <w:spacing w:after="40" w:line="240" w:lineRule="auto"/>
            </w:pPr>
            <w:r>
              <w:rPr>
                <w:b w:val="0"/>
                <w:i w:val="0"/>
                <w:sz w:val="17"/>
              </w:rPr>
              <w:t>Intake, version control and signature routing.</w:t>
            </w:r>
          </w:p>
        </w:tc>
      </w:tr>
    </w:tbl>
    <w:p>
      <w:pPr>
        <w:pStyle w:val="Heading1"/>
      </w:pPr>
      <w:r>
        <w:t>Version history</w:t>
      </w:r>
    </w:p>
    <w:tbl>
      <w:tblPr>
        <w:tblW w:type="auto" w:w="0"/>
        <w:jc w:val="center"/>
        <w:tblBorders>
          <w:top w:val="single" w:sz="4" w:space="0" w:color="B4C0D3"/>
          <w:left w:val="single" w:sz="4" w:space="0" w:color="B4C0D3"/>
          <w:bottom w:val="single" w:sz="4" w:space="0" w:color="B4C0D3"/>
          <w:right w:val="single" w:sz="4" w:space="0" w:color="B4C0D3"/>
          <w:insideH w:val="single" w:sz="4" w:space="0" w:color="B4C0D3"/>
          <w:insideV w:val="single" w:sz="4" w:space="0" w:color="B4C0D3"/>
        </w:tblBorders>
        <w:tblLayout w:type="fixed"/>
        <w:tblCellMar>
          <w:top w:w="60" w:type="dxa"/>
          <w:left w:w="90" w:type="dxa"/>
          <w:bottom w:w="60" w:type="dxa"/>
          <w:right w:w="90" w:type="dxa"/>
        </w:tblCellMar>
        <w:tblLook w:firstColumn="1" w:firstRow="1" w:lastColumn="0" w:lastRow="0" w:noHBand="0" w:noVBand="1" w:val="04A0"/>
      </w:tblPr>
      <w:tblGrid>
        <w:gridCol w:w="2409"/>
        <w:gridCol w:w="2409"/>
        <w:gridCol w:w="2409"/>
        <w:gridCol w:w="2409"/>
      </w:tblGrid>
      <w:tr>
        <w:trPr>
          <w:tblHeader w:val="true"/>
        </w:trPr>
        <w:tc>
          <w:tcPr>
            <w:tcW w:type="dxa" w:w="1134"/>
            <w:shd w:val="clear" w:color="auto" w:fill="1F3864"/>
          </w:tcPr>
          <w:p>
            <w:pPr>
              <w:spacing w:after="0" w:line="240" w:lineRule="auto"/>
            </w:pPr>
            <w:r>
              <w:rPr>
                <w:b/>
                <w:color w:val="FFFFFF"/>
                <w:sz w:val="17"/>
              </w:rPr>
              <w:t>Version</w:t>
            </w:r>
          </w:p>
        </w:tc>
        <w:tc>
          <w:tcPr>
            <w:tcW w:type="dxa" w:w="1701"/>
            <w:shd w:val="clear" w:color="auto" w:fill="1F3864"/>
          </w:tcPr>
          <w:p>
            <w:pPr>
              <w:spacing w:after="0" w:line="240" w:lineRule="auto"/>
            </w:pPr>
            <w:r>
              <w:rPr>
                <w:b/>
                <w:color w:val="FFFFFF"/>
                <w:sz w:val="17"/>
              </w:rPr>
              <w:t>Date</w:t>
            </w:r>
          </w:p>
        </w:tc>
        <w:tc>
          <w:tcPr>
            <w:tcW w:type="dxa" w:w="2041"/>
            <w:shd w:val="clear" w:color="auto" w:fill="1F3864"/>
          </w:tcPr>
          <w:p>
            <w:pPr>
              <w:spacing w:after="0" w:line="240" w:lineRule="auto"/>
            </w:pPr>
            <w:r>
              <w:rPr>
                <w:b/>
                <w:color w:val="FFFFFF"/>
                <w:sz w:val="17"/>
              </w:rPr>
              <w:t>Owner</w:t>
            </w:r>
          </w:p>
        </w:tc>
        <w:tc>
          <w:tcPr>
            <w:tcW w:type="dxa" w:w="4535"/>
            <w:shd w:val="clear" w:color="auto" w:fill="1F3864"/>
          </w:tcPr>
          <w:p>
            <w:pPr>
              <w:spacing w:after="0" w:line="240" w:lineRule="auto"/>
            </w:pPr>
            <w:r>
              <w:rPr>
                <w:b/>
                <w:color w:val="FFFFFF"/>
                <w:sz w:val="17"/>
              </w:rPr>
              <w:t>Summary</w:t>
            </w:r>
          </w:p>
        </w:tc>
      </w:tr>
      <w:tr>
        <w:trPr>
          <w:cantSplit/>
        </w:trPr>
        <w:tc>
          <w:tcPr>
            <w:tcW w:type="dxa" w:w="1134"/>
          </w:tcPr>
          <w:p>
            <w:pPr>
              <w:spacing w:after="40" w:line="240" w:lineRule="auto"/>
            </w:pPr>
            <w:r>
              <w:rPr>
                <w:b w:val="0"/>
                <w:i w:val="0"/>
                <w:sz w:val="17"/>
              </w:rPr>
              <w:t>4.2</w:t>
            </w:r>
          </w:p>
        </w:tc>
        <w:tc>
          <w:tcPr>
            <w:tcW w:type="dxa" w:w="1701"/>
          </w:tcPr>
          <w:p>
            <w:pPr>
              <w:spacing w:after="40" w:line="240" w:lineRule="auto"/>
            </w:pPr>
            <w:r>
              <w:rPr>
                <w:b w:val="0"/>
                <w:i w:val="0"/>
                <w:sz w:val="17"/>
              </w:rPr>
              <w:t>14 January 2026</w:t>
            </w:r>
          </w:p>
        </w:tc>
        <w:tc>
          <w:tcPr>
            <w:tcW w:type="dxa" w:w="2041"/>
          </w:tcPr>
          <w:p>
            <w:pPr>
              <w:spacing w:after="40" w:line="240" w:lineRule="auto"/>
            </w:pPr>
            <w:r>
              <w:rPr>
                <w:b w:val="0"/>
                <w:i w:val="0"/>
                <w:sz w:val="17"/>
              </w:rPr>
              <w:t>Priya Raghavan</w:t>
            </w:r>
          </w:p>
        </w:tc>
        <w:tc>
          <w:tcPr>
            <w:tcW w:type="dxa" w:w="4535"/>
          </w:tcPr>
          <w:p>
            <w:pPr>
              <w:spacing w:after="40" w:line="240" w:lineRule="auto"/>
            </w:pPr>
            <w:r>
              <w:rPr>
                <w:b w:val="0"/>
                <w:i w:val="0"/>
                <w:sz w:val="17"/>
              </w:rPr>
              <w:t>Added UNA-01 on AI training and benchmarking; refreshed audit and transfer positions.</w:t>
            </w:r>
          </w:p>
        </w:tc>
      </w:tr>
      <w:tr>
        <w:trPr>
          <w:cantSplit/>
        </w:trPr>
        <w:tc>
          <w:tcPr>
            <w:tcW w:type="dxa" w:w="1134"/>
          </w:tcPr>
          <w:p>
            <w:pPr>
              <w:spacing w:after="40" w:line="240" w:lineRule="auto"/>
            </w:pPr>
            <w:r>
              <w:rPr>
                <w:b w:val="0"/>
                <w:i w:val="0"/>
                <w:sz w:val="17"/>
              </w:rPr>
              <w:t>4.1</w:t>
            </w:r>
          </w:p>
        </w:tc>
        <w:tc>
          <w:tcPr>
            <w:tcW w:type="dxa" w:w="1701"/>
          </w:tcPr>
          <w:p>
            <w:pPr>
              <w:spacing w:after="40" w:line="240" w:lineRule="auto"/>
            </w:pPr>
            <w:r>
              <w:rPr>
                <w:b w:val="0"/>
                <w:i w:val="0"/>
                <w:sz w:val="17"/>
              </w:rPr>
              <w:t>2 September 2025</w:t>
            </w:r>
          </w:p>
        </w:tc>
        <w:tc>
          <w:tcPr>
            <w:tcW w:type="dxa" w:w="2041"/>
          </w:tcPr>
          <w:p>
            <w:pPr>
              <w:spacing w:after="40" w:line="240" w:lineRule="auto"/>
            </w:pPr>
            <w:r>
              <w:rPr>
                <w:b w:val="0"/>
                <w:i w:val="0"/>
                <w:sz w:val="17"/>
              </w:rPr>
              <w:t>Tom Whitlock</w:t>
            </w:r>
          </w:p>
        </w:tc>
        <w:tc>
          <w:tcPr>
            <w:tcW w:type="dxa" w:w="4535"/>
          </w:tcPr>
          <w:p>
            <w:pPr>
              <w:spacing w:after="40" w:line="240" w:lineRule="auto"/>
            </w:pPr>
            <w:r>
              <w:rPr>
                <w:b w:val="0"/>
                <w:i w:val="0"/>
                <w:sz w:val="17"/>
              </w:rPr>
              <w:t>Revised liability fallbacks after the 2025 insurance renewal.</w:t>
            </w:r>
          </w:p>
        </w:tc>
      </w:tr>
      <w:tr>
        <w:trPr>
          <w:cantSplit/>
        </w:trPr>
        <w:tc>
          <w:tcPr>
            <w:tcW w:type="dxa" w:w="1134"/>
          </w:tcPr>
          <w:p>
            <w:pPr>
              <w:spacing w:after="40" w:line="240" w:lineRule="auto"/>
            </w:pPr>
            <w:r>
              <w:rPr>
                <w:b w:val="0"/>
                <w:i w:val="0"/>
                <w:sz w:val="17"/>
              </w:rPr>
              <w:t>4.0</w:t>
            </w:r>
          </w:p>
        </w:tc>
        <w:tc>
          <w:tcPr>
            <w:tcW w:type="dxa" w:w="1701"/>
          </w:tcPr>
          <w:p>
            <w:pPr>
              <w:spacing w:after="40" w:line="240" w:lineRule="auto"/>
            </w:pPr>
            <w:r>
              <w:rPr>
                <w:b w:val="0"/>
                <w:i w:val="0"/>
                <w:sz w:val="17"/>
              </w:rPr>
              <w:t>3 March 2025</w:t>
            </w:r>
          </w:p>
        </w:tc>
        <w:tc>
          <w:tcPr>
            <w:tcW w:type="dxa" w:w="2041"/>
          </w:tcPr>
          <w:p>
            <w:pPr>
              <w:spacing w:after="40" w:line="240" w:lineRule="auto"/>
            </w:pPr>
            <w:r>
              <w:rPr>
                <w:b w:val="0"/>
                <w:i w:val="0"/>
                <w:sz w:val="17"/>
              </w:rPr>
              <w:t>Priya Raghavan</w:t>
            </w:r>
          </w:p>
        </w:tc>
        <w:tc>
          <w:tcPr>
            <w:tcW w:type="dxa" w:w="4535"/>
          </w:tcPr>
          <w:p>
            <w:pPr>
              <w:spacing w:after="40" w:line="240" w:lineRule="auto"/>
            </w:pPr>
            <w:r>
              <w:rPr>
                <w:b w:val="0"/>
                <w:i w:val="0"/>
                <w:sz w:val="17"/>
              </w:rPr>
              <w:t>Full rewrite; introduced the seven deviation categories.</w:t>
            </w:r>
          </w:p>
        </w:tc>
      </w:tr>
    </w:tbl>
    <w:p>
      <w:pPr>
        <w:spacing w:after="0"/>
      </w:pPr>
      <w:r>
        <w:br w:type="page"/>
      </w:r>
    </w:p>
    <w:p>
      <w:pPr>
        <w:pStyle w:val="Heading1"/>
      </w:pPr>
      <w:r>
        <w:t>Position tables</w:t>
      </w:r>
    </w:p>
    <w:p>
      <w:r>
        <w:rPr>
          <w:b w:val="0"/>
          <w:i w:val="0"/>
        </w:rPr>
        <w:t>Each table below is one topic. Read the Applies to row first; a position that governs an MSA does not automatically govern an order form or an SOW. Where a table says “—”, the row does not apply and no concession is available.</w:t>
      </w:r>
    </w:p>
    <w:p>
      <w:r>
        <w:rPr>
          <w:b w:val="0"/>
          <w:i w:val="0"/>
        </w:rPr>
        <w:t>Position IDs are stable and are used in deal summaries and approval requests. Quote the ID, not the heading, when you escalate.</w:t>
      </w:r>
    </w:p>
    <w:p>
      <w:pPr>
        <w:pStyle w:val="Heading2"/>
      </w:pPr>
      <w:r>
        <w:t>LIA-01  Liability cap</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LIA-01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Aggregate liability under the agreement is capped at the fees paid or payable in the 12 months immediately before the event giving rise to the claim. The cap applies to each party, not only to Bramber.</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24 months' fees where the customer's contract value is at least £250,000, or where the customer has required a higher cap in a competitive tender. A super-cap for data protection claims of 2x the annual fee is acceptable if the DPA is on our terms.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Uncapped liability, a cap above 2x annual fees, or a cap that applies only to Bramber. These are walk-away positions and require CFO and GC approval.</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for the standard cap; Marcus Feld and Priya Raghavan for any increase.</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The cap is the number the business has priced and insured. Anything above it is an uninsured exposure. Sample: “Each party's aggregate liability arising out of or in connection with this Agreement shall not exceed the total Fees paid or payable by Customer in the twelve (12) months preceding the event giving rise to the claim.”</w:t>
            </w:r>
          </w:p>
        </w:tc>
      </w:tr>
    </w:tbl>
    <w:p>
      <w:pPr>
        <w:spacing w:after="40"/>
      </w:pPr>
    </w:p>
    <w:p>
      <w:pPr>
        <w:pStyle w:val="Heading2"/>
      </w:pPr>
      <w:r>
        <w:t>LIA-02  Unlimited liability and carve-outs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LIA-02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only uncapped categories are death or personal injury caused by negligence, fraud or fraudulent misrepresentation, and breach of confidentiality. The IP indemnity is subject to the general cap, with a maximum of 2x the annual fee.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Uncapped liability for breach of confidentiality is acceptable where the customer's data is genuinely sensitive and the DPA contains a matching confidentiality obligation. Do not accept an uncapped data protection category.</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Unlimited liability for breach of data protection law, regulatory fines, or “any breach of this Agreement”. These transfer an unquantifiable risk to Bramber and are not insurable on our programme.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Marcus Feld and Priya Raghavan for any change to the carve-outs.</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Regulatory fines are not a commercial debt we can price. Our cyber policy responds to incident costs, not to a contractual indemnity for a regulator's penalty. Sample: “Nothing in this Clause limits either party's liability for death or personal injury caused by its negligence, fraud, or breach of Clause 7 (Confidentiality).”</w:t>
            </w:r>
          </w:p>
        </w:tc>
      </w:tr>
    </w:tbl>
    <w:p>
      <w:pPr>
        <w:spacing w:after="40"/>
      </w:pPr>
    </w:p>
    <w:p>
      <w:pPr>
        <w:pStyle w:val="Heading2"/>
      </w:pPr>
      <w:r>
        <w:t>IND-01  Platform and background IP</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IND-01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owns the Platform, the Documentation, all background IP and every improvement to them, whether made before or during the engagement. The customer receives a non-exclusive, non-transferable right to use the Services for its internal business during the subscription term.</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perpetual licence to use configured elements of the Platform for the customer's internal business after termination, limited to the scope in the order form. No assignment of Platform IP.</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Any transfer or assignment of Platform IP, source code, model weights or background IP to the customer. This is a walk-away position and requires GC and CTO approval.</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Priya Raghavan and Hannah Voss.</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The Platform is the asset the company is valued on. A customer-specific configuration is not a reason to transfer the underlying product. If a customer needs continuity, offer a licence and an escrow arrangement under UNA-01.</w:t>
            </w:r>
          </w:p>
        </w:tc>
      </w:tr>
    </w:tbl>
    <w:p>
      <w:pPr>
        <w:spacing w:after="40"/>
      </w:pPr>
    </w:p>
    <w:p>
      <w:pPr>
        <w:pStyle w:val="Heading2"/>
      </w:pPr>
      <w:r>
        <w:t>IND-02  Deliverables, customer data and feedback</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IND-02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owns its Customer Data. Bramber assigns ownership of bespoke Deliverables (documents, reports and configured outputs) once paid for, excluding any Bramber background IP, tools, templates or know-how embedded in them. Feedback may be used royalty-free to improve the Services.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broad licence to the Deliverables rather than an assignment, or joint ownership of bespoke materials with a perpetual licence back to Bramber.</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assignment of Deliverables that captures background IP, pre-existing tools or model improvements, or a restriction on using know-how and techniques developed on the engagement.</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Priya Raghavan if background IP is in scope.</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The distinction between a deliverable and the factory that made it is the whole game. Draft the assignment with a schedule that lists the deliverables and expressly excludes background IP.</w:t>
            </w:r>
          </w:p>
        </w:tc>
      </w:tr>
    </w:tbl>
    <w:p>
      <w:pPr>
        <w:spacing w:after="40"/>
      </w:pPr>
    </w:p>
    <w:p>
      <w:pPr>
        <w:pStyle w:val="Heading2"/>
      </w:pPr>
      <w:r>
        <w:t>IND-03  IP indemnity</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IND-03</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indemnifies the customer against third-party claims that the Services infringe IP rights, subject to the liability cap, prompt notice, sole control of the defence and the customer's obligation to stop using the Service after notice. The indemnity excludes modifications, combinations and customer data.</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separate indemnity cap of 2x annual fees, or a obligation to procure a licence or replace the affected functionality at Bramber's option.</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uncapped IP indemnity, an indemnity that covers customer modifications or third-party services, or one that survives without a time limit.</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Marcus Feld for any separate cap.</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An IP claim is plausible in a crowded workflow market, but it is still a capped commercial risk. The exclusions are what make the indemnity underwritable.</w:t>
            </w:r>
          </w:p>
        </w:tc>
      </w:tr>
    </w:tbl>
    <w:p>
      <w:pPr>
        <w:spacing w:after="40"/>
      </w:pPr>
    </w:p>
    <w:p>
      <w:pPr>
        <w:pStyle w:val="Heading2"/>
      </w:pPr>
      <w:r>
        <w:t>TER-01  Term, renewal and notice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TER-01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An initial term of 12 to 36 months, renewing for successive 12-month periods unless either party gives at least 60 days' written notice before the end of the then-current term. No renewal period longer than 12 months.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90-day notice period, a 120-day period where the customer's budget cycle requires it and the account has a named renewal owner, or a 24-month renewal where the customer has committed to a minimum volume and the pricing reflects it.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Automatic renewal for more than 24 months, a notice period longer than 120 days, or a term that renews indefinitely without a termination right.</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Nadia Iqbal for any renewal term longer than 12 months.</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Long notice periods look harmless until the account team misses the diary entry. 60 days gives Sales a full quarter to renew; 120 days hands the customer a free option.</w:t>
            </w:r>
          </w:p>
        </w:tc>
      </w:tr>
    </w:tbl>
    <w:p>
      <w:pPr>
        <w:spacing w:after="40"/>
      </w:pPr>
    </w:p>
    <w:p>
      <w:pPr>
        <w:pStyle w:val="Heading2"/>
      </w:pPr>
      <w:r>
        <w:t>TER-02  Termination for convenience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TER-02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may terminate an order form for convenience after the first 12 months on 90 days' written notice, paying fees for the notice period and any non-cancellable third-party commitments. Bramber has no termination for convenience right.</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Termination for convenience on 60 days' notice with an early termination charge equal to the fees for the remainder of the then-current 12-month period, or a one-time 10% buy-out.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Termination for convenience in the first 12 months, or on less than 60 days' notice without a termination charge.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Nadia Iqbal and Tom Whitlock; Marcus Feld for any waiver of the termination charge.</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A customer convenience right is a revenue risk, not a legal one. The notice period and charge are how we keep the committed ARR meaningful.</w:t>
            </w:r>
          </w:p>
        </w:tc>
      </w:tr>
    </w:tbl>
    <w:p>
      <w:pPr>
        <w:spacing w:after="40"/>
      </w:pPr>
    </w:p>
    <w:p>
      <w:pPr>
        <w:pStyle w:val="Heading2"/>
      </w:pPr>
      <w:r>
        <w:t>TER-03  Termination for cause and exit</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TER-03</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Either party may terminate for material breach after 30 days' written notice and failure to cure, or immediately on insolvency. On exit, Bramber provides 90 days of transition assistance at standard rates and returns Customer Data in a common format.</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15-day cure period for payment breaches and 60 days for other breaches; transition assistance for 60 days at cost.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Termination for any breach without a cure right, termination on a customer's insolvency without a right to suspend, or no exit assistance obligation at all.</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Cure periods protect us from losing a contract over an invoicing dispute. Exit assistance is what stops a customer using data hostage as a negotiation tactic.</w:t>
            </w:r>
          </w:p>
        </w:tc>
      </w:tr>
    </w:tbl>
    <w:p>
      <w:pPr>
        <w:spacing w:after="40"/>
      </w:pPr>
    </w:p>
    <w:p>
      <w:pPr>
        <w:pStyle w:val="Heading2"/>
      </w:pPr>
      <w:r>
        <w:t>PAY-01  Payment terms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PAY-01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Invoices are payable within 30 days of the invoice date, in pounds sterling or the currency stated in the order form. Disputed amounts must be notified within 10 Business Days; undisputed amounts remain payable. Late payment interest is 4% above the Bank of England base rate.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45 days for UK customers, 60 days for large enterprise or public-sector customers, provided the customer has a purchase-order process that does not delay payment.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90 days or more, payment on customer acceptance, pay-when-paid, or a right to set off disputed amounts without a cap.</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Marcus Feld for terms beyond 45 days.</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Payment terms are working capital. A 60-day term on a £500,000 contract is a £40,000 financing cost we have not priced.</w:t>
            </w:r>
          </w:p>
        </w:tc>
      </w:tr>
    </w:tbl>
    <w:p>
      <w:pPr>
        <w:spacing w:after="40"/>
      </w:pPr>
    </w:p>
    <w:p>
      <w:pPr>
        <w:pStyle w:val="Heading2"/>
      </w:pPr>
      <w:r>
        <w:t>PAY-02  Price increases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PAY-02</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Fees may increase on each renewal by the lower of CPI plus 3% or 5%, on at least 60 days' written notice. Multi-year order forms may fix the increase at 3% per year.</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fixed 5% annual uplift, or a cap at CPI plus 4% where CPI is the published UK index.</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Fees fixed for the whole term beyond 24 months with no uplift, or an uncapped increase above 8% in any year.</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Marcus Feld and Nadia Iqbal.</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A price hold is a discount with a delay. If Sales wants a longer hold, it should be priced into year one, not discovered at renewal.</w:t>
            </w:r>
          </w:p>
        </w:tc>
      </w:tr>
    </w:tbl>
    <w:p>
      <w:pPr>
        <w:spacing w:after="40"/>
      </w:pPr>
    </w:p>
    <w:p>
      <w:pPr>
        <w:pStyle w:val="Heading2"/>
      </w:pPr>
      <w:r>
        <w:t>PAY-03  Expenses and third-party costs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PAY-03</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Travel and expenses are pre-approved in writing, charged at cost with receipts, and capped at 5% of the professional services fees for the engagement. Third-party licence costs are passed through at cost with evidence of the supplier invoice.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fixed expenses allowance built into the fee, or a cap of 10% where the customer cannot pre-approve individual trips. Third-party licence cost increases above 10% require a change order.</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Uncapped expenses, no pre-approval requirement, or an obligation to absorb third-party licence cost increases above 10% without a change order.</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Marcus Feld for any cap above 10%.</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Expenses are a pass-through, not a profit centre, but they are also the line item customers dispute most often. A pre-approval and a cap keep both sides honest. Sample: “Customer shall reimburse pre-approved travel and expenses at cost, supported by receipts, up to five per cent (5%) of the Professional Services Fees.”</w:t>
            </w:r>
          </w:p>
        </w:tc>
      </w:tr>
    </w:tbl>
    <w:p>
      <w:pPr>
        <w:spacing w:after="40"/>
      </w:pPr>
    </w:p>
    <w:p>
      <w:pPr>
        <w:pStyle w:val="Heading2"/>
      </w:pPr>
      <w:r>
        <w:t>AUD-01  Audit rights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AUD-01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may audit Bramber's compliance with the agreement once in any 12-month period, on at least 30 days' written notice, during business hours and remotely where possible. The auditor must be independent, bound by confidentiality and have no access to other customers' data. The customer bears the cost unless the audit reveals a material discrepancy of more than 5%.</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Twice in any 12-month period for regulated customers, with 15 Business Days' notice; a maximum of five auditor days per audit; costs shared where the audit is inconclusive.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Audits on less than 5 Business Days' notice, unlimited frequency, unfettered access to systems or sub-processors, or audits at Bramber's cost regardless of outcome.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Jonas Reed and Tom Whitlock.</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Audit clauses are operational commitments disguised as legal text. Every additional audit day is a cost the delivery team carries. Sample: “Customer may, no more than once in any twelve-month period and on at least thirty (30) days' prior written notice, audit Supplier's compliance with this Agreement during normal business hours.”</w:t>
            </w:r>
          </w:p>
        </w:tc>
      </w:tr>
    </w:tbl>
    <w:p>
      <w:pPr>
        <w:spacing w:after="40"/>
      </w:pPr>
    </w:p>
    <w:p>
      <w:pPr>
        <w:pStyle w:val="Heading2"/>
      </w:pPr>
      <w:r>
        <w:t>SEC-01  Security and testing</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SEC-01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maintains ISO 27001 certification and a SOC 2 Type II report, and will provide the current report under NDA. Security measures are set out in the DPA or security schedule. Penetration testing by the customer requires prior written consent, a defined scope and a mutually agreed window.</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customer security questionnaire and a completed CAIQ, plus annual summary evidence. A single customer-commissioned penetration test per year at the customer's cost.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right to conduct unannounced penetration testing, to access production systems, or to require remediation of findings outside the agreed severity thresholds.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Jonas Reed.</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Our certifications answer most of the questionnaire. Unrestricted testing rights create operational risk and can invalidate our own assurance position.</w:t>
            </w:r>
          </w:p>
        </w:tc>
      </w:tr>
    </w:tbl>
    <w:p>
      <w:pPr>
        <w:spacing w:after="40"/>
      </w:pPr>
    </w:p>
    <w:p>
      <w:pPr>
        <w:pStyle w:val="Heading2"/>
      </w:pPr>
      <w:r>
        <w:t>SLA-01  Service levels and credits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SLA-01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Order Form;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99.9% monthly availability for the production environment, measured excluding scheduled maintenance notified 5 Business Days in advance. Service credits are the sole remedy, calculated as a percentage of the monthly fee and capped at 15% of the monthly fee in aggregate.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99.5% availability with credits capped at 25% of the monthly fee, or a right to terminate after three consecutive months below the threshold.</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Availability commitments above 99.95% without a corresponding change to the architecture and support model, uncapped credits, or a right to terminate for a single missed target.</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Jonas Reed and Tom Whitlock; Marcus Feld for any credit cap above 25%.</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The SLA is a promise about engineering, not a marketing line. Credits are a price adjustment, not a penalty, and must be capped.</w:t>
            </w:r>
          </w:p>
        </w:tc>
      </w:tr>
    </w:tbl>
    <w:p>
      <w:pPr>
        <w:spacing w:after="40"/>
      </w:pPr>
    </w:p>
    <w:p>
      <w:pPr>
        <w:pStyle w:val="Heading2"/>
      </w:pPr>
      <w:r>
        <w:t>CONF-01  Confidentiality</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CONF-01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NDA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Mutual confidentiality for the term and 3 years after termination. Standard carve-outs for public information, independently developed information, information received from a third party and disclosures required by law. No residuals clause. Return or destruction on request, with a certification.</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5-year survival period; a 7-year survival period for trade secrets. A residuals clause limited to unaided memory and excluding any intentional memorisation.</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Perpetual confidentiality, a residuals clause that permits use of disclosed information, or a restriction on hiring generally rather than targeted solicitation.</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Aisha Bello.</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Confidentiality is cheap to give and expensive to police. The carve-outs do the real work; a perpetual obligation is not credible and creates a compliance burden.</w:t>
            </w:r>
          </w:p>
        </w:tc>
      </w:tr>
    </w:tbl>
    <w:p>
      <w:pPr>
        <w:spacing w:after="40"/>
      </w:pPr>
    </w:p>
    <w:p>
      <w:pPr>
        <w:pStyle w:val="Heading2"/>
      </w:pPr>
      <w:r>
        <w:t>WAR-01  Warranties and acceptance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WAR-01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SOW</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warrants that the Services will perform materially in accordance with the Documentation and that professional services will be performed with reasonable skill and care. The remedy is repair or re-performance within 30 days. Acceptance is deemed 10 Business Days after delivery unless the customer gives a written notice specifying a material non-conformity.</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90-day warranty period for professional services; a 15 Business Day deemed acceptance period; a right to reject only for material non-conformity against written acceptance criteria.</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warranty of fitness for a particular purpose, a warranty of uninterrupted or error-free operation, or acceptance at the customer's sole discretion with no deemed acceptance.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Hannah Voss for any product warranty.</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“Error-free” is not a warranty any software company can give. Acceptance criteria must be objective and tied to the SOW, or the project has no end date.</w:t>
            </w:r>
          </w:p>
        </w:tc>
      </w:tr>
    </w:tbl>
    <w:p>
      <w:pPr>
        <w:spacing w:after="40"/>
      </w:pPr>
    </w:p>
    <w:p>
      <w:pPr>
        <w:pStyle w:val="Heading2"/>
      </w:pPr>
      <w:r>
        <w:t>INM-01  Indemnities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INM-01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Indemnities are mutual, specific and subject to the liability cap. Bramber indemnifies for third-party IP infringement; the customer indemnifies for Customer Data, unlawful use and breach of its own obligations. Each indemnity is subject to prompt notice, sole control of the defence and reasonable cooperation.</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customer indemnity limited to third-party claims arising from Customer Data, with a cap equal to the fees paid in the preceding 12 months.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uncapped indemnity, an indemnity for the customer's own negligence, or an obligation to defend claims that are outside the scope of the Services.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Priya Raghavan for any uncapped indemnity.</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An indemnity is a promise to stand behind a specific risk. If it is not specific, it is a second liability cap with worse words.</w:t>
            </w:r>
          </w:p>
        </w:tc>
      </w:tr>
    </w:tbl>
    <w:p>
      <w:pPr>
        <w:spacing w:after="40"/>
      </w:pPr>
    </w:p>
    <w:p>
      <w:pPr>
        <w:pStyle w:val="Heading2"/>
      </w:pPr>
      <w:r>
        <w:t>INS-01  Insurance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INS-01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maintains professional indemnity of £10m, cyber liability of £10m, public liability of £5m and employer's liability of £5m, and will provide certificates on request. Insurance is not a substitute for the liability cap.</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£5m professional indemnity and £5m cyber for mid-market customers; certificates annually rather than on every request.</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requirement to name the customer as an additional insured, to provide primary and non-contributory cover, or to maintain cover above £10m.</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Marcus Feld.</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Insurance requirements are proxy liability caps. Adding a customer as an insured gives them a direct claim on our policy and complicates renewals.</w:t>
            </w:r>
          </w:p>
        </w:tc>
      </w:tr>
    </w:tbl>
    <w:p>
      <w:pPr>
        <w:spacing w:after="40"/>
      </w:pPr>
    </w:p>
    <w:p>
      <w:pPr>
        <w:pStyle w:val="Heading2"/>
      </w:pPr>
      <w:r>
        <w:t>SUB-01  Subcontracting and sub-processors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SUB-01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DPA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Bramber may use affiliates and vetted sub-processors, with a current list in the DPA and a general authorisation to appoint replacements on 30 days' notice. Bramber remains liable for their performance. The customer may object on reasonable data protection grounds.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Prior written consent for new sub-processors, not unreasonably withheld or delayed, with a deemed approval after 10 Business Days.</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Absolute customer consent for each sub-processor, a right to veto the use of cloud infrastructure providers, or a requirement that Bramber's affiliates be treated as third parties.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Elena Marchetti and Tom Whitlock.</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Our service runs on third-party infrastructure. A veto right over sub-processors is a veto right over the product roadmap.</w:t>
            </w:r>
          </w:p>
        </w:tc>
      </w:tr>
    </w:tbl>
    <w:p>
      <w:pPr>
        <w:spacing w:after="40"/>
      </w:pPr>
    </w:p>
    <w:p>
      <w:pPr>
        <w:pStyle w:val="Heading2"/>
      </w:pPr>
      <w:r>
        <w:t>ASG-01  Assignment and change of control</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ASG-01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Neither party may assign the agreement without the other's written consent, except to an affiliate or to a successor in a merger or sale of substantially all assets, provided the assignee assumes the obligations in writing.</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Customer consent for Bramber's assignment to a competitor of the customer, but not for a change of control of Bramber.</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right for the customer to terminate on any change of control of Bramber, or a prohibition on assignment to an affiliate.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Priya Raghavan.</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Investors and acquirers need a clean assignment path. A change-of-control termination right turns a financing event into a customer churn event.</w:t>
            </w:r>
          </w:p>
        </w:tc>
      </w:tr>
    </w:tbl>
    <w:p>
      <w:pPr>
        <w:spacing w:after="40"/>
      </w:pPr>
    </w:p>
    <w:p>
      <w:pPr>
        <w:pStyle w:val="Heading2"/>
      </w:pPr>
      <w:r>
        <w:t>LAW-01  Governing law and disputes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LAW-01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English law, with the exclusive jurisdiction of the courts of England and Wales. Before litigation, the parties escalate to senior representatives for 20 Business Days. Either party may seek injunctive relief at any time.</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Delaware or New York law for US customers, with courts in those states; German law for German customers where the DPA requires it. Escalation remains mandatory.</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The customer's local courts with no escalation, arbitration in a jurisdiction where we have no presence, or a requirement to litigate in more than one forum.</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 Priya Raghavan for any non-English law.</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We are an English company with English insurance and English counsel. A US law clause is manageable; a US court clause with no escalation is an expense we do not need.</w:t>
            </w:r>
          </w:p>
        </w:tc>
      </w:tr>
    </w:tbl>
    <w:p>
      <w:pPr>
        <w:spacing w:after="40"/>
      </w:pPr>
    </w:p>
    <w:p>
      <w:pPr>
        <w:pStyle w:val="Heading2"/>
      </w:pPr>
      <w:r>
        <w:t>FOR-01  Force majeure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FOR-01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A party is excused from performance for events beyond its reasonable control, excluding payment obligations. The affected party must notify promptly and mitigate. Either party may terminate if the event continues for 60 days.</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90-day termination threshold for infrastructure failures, provided the customer receives a service credit for the affected period.</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Force majeure that excuses payment, or an exclusion that captures failures of our own sub-processors.</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Force majeure is for events neither party can control. It is not a cure for a supplier's capacity problem.</w:t>
            </w:r>
          </w:p>
        </w:tc>
      </w:tr>
    </w:tbl>
    <w:p>
      <w:pPr>
        <w:spacing w:after="40"/>
      </w:pPr>
    </w:p>
    <w:p>
      <w:pPr>
        <w:pStyle w:val="Heading2"/>
      </w:pPr>
      <w:r>
        <w:t>PUB-01  Publicity and references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PUB-01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Neither party may use the other's name, logo or trademarks without prior written consent, except that Bramber may include the customer's name in a confidential reference list shared with prospective customers under NDA.</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An anonymised case study with agreed facts and a quote approved by the customer; a press release jointly approved.</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blanket prohibition on referring to the customer as a customer, or a right for the customer to approve all future marketing generally.</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Aisha Bello and Nadia Iqbal.</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References are the cheapest form of proof we have. A blanket ban is usually a procurement default, not a real concern.</w:t>
            </w:r>
          </w:p>
        </w:tc>
      </w:tr>
    </w:tbl>
    <w:p>
      <w:pPr>
        <w:spacing w:after="40"/>
      </w:pPr>
    </w:p>
    <w:p>
      <w:pPr>
        <w:pStyle w:val="Heading2"/>
      </w:pPr>
      <w:r>
        <w:t>CUS-01  Customer obligations and acceptable use</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CUS-01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The customer is responsible for the accuracy and lawfulness of Customer Data, for its users' compliance with the acceptable use policy, and for maintaining its own systems and connectivity. Prohibited uses are listed objectively: unlawful content, malware, unauthorised access, excessive load and use to build a competing product.</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customer-specific acceptable use schedule for regulated customers, provided it does not impose obligations on Bramber beyond the DPA and security schedule.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An obligation for Bramber to monitor Customer Data for unlawful content, or a customer right to suspend fees because of a third party's use of the Service.</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Tom Whitlock.</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We are a processor, not an insurer of our customers' conduct. The acceptable use policy should be specific enough to enforce and narrow enough to operate.</w:t>
            </w:r>
          </w:p>
        </w:tc>
      </w:tr>
    </w:tbl>
    <w:p>
      <w:pPr>
        <w:spacing w:after="40"/>
      </w:pPr>
    </w:p>
    <w:p>
      <w:pPr>
        <w:pStyle w:val="Heading2"/>
      </w:pPr>
      <w:r>
        <w:t>UNA-01  Novel and unusual clauses</w:t>
      </w:r>
    </w:p>
    <w:tbl>
      <w:tblPr>
        <w:tblW w:type="auto" w:w="0"/>
        <w:tblBorders>
          <w:top w:val="single" w:sz="4" w:space="0" w:color="C9D3E0"/>
          <w:left w:val="single" w:sz="4" w:space="0" w:color="C9D3E0"/>
          <w:bottom w:val="single" w:sz="4" w:space="0" w:color="C9D3E0"/>
          <w:right w:val="single" w:sz="4" w:space="0" w:color="C9D3E0"/>
          <w:insideH w:val="single" w:sz="4" w:space="0" w:color="C9D3E0"/>
          <w:insideV w:val="single" w:sz="4" w:space="0" w:color="C9D3E0"/>
        </w:tblBorders>
        <w:tblLayout w:type="fixed"/>
        <w:tblCellMar>
          <w:top w:w="70" w:type="dxa"/>
          <w:left w:w="100" w:type="dxa"/>
          <w:bottom w:w="70" w:type="dxa"/>
          <w:right w:w="100" w:type="dxa"/>
        </w:tblCellMar>
        <w:tblLook w:firstColumn="1" w:firstRow="1" w:lastColumn="0" w:lastRow="0" w:noHBand="0" w:noVBand="1" w:val="04A0"/>
      </w:tblPr>
      <w:tblGrid>
        <w:gridCol w:w="4819"/>
        <w:gridCol w:w="4819"/>
      </w:tblGrid>
      <w:tr>
        <w:trPr>
          <w:cantSplit/>
        </w:trPr>
        <w:tc>
          <w:tcPr>
            <w:tcW w:type="dxa" w:w="2268"/>
            <w:shd w:val="clear" w:color="auto" w:fill="EDF1F7"/>
          </w:tcPr>
          <w:p>
            <w:pPr>
              <w:spacing w:after="40"/>
            </w:pPr>
            <w:r>
              <w:rPr>
                <w:b/>
                <w:color w:val="1F3864"/>
                <w:sz w:val="18"/>
              </w:rPr>
              <w:t>Position ID</w:t>
            </w:r>
          </w:p>
        </w:tc>
        <w:tc>
          <w:tcPr>
            <w:tcW w:type="dxa" w:w="7143"/>
          </w:tcPr>
          <w:p>
            <w:pPr>
              <w:spacing w:after="40" w:line="252" w:lineRule="auto"/>
            </w:pPr>
            <w:r>
              <w:rPr>
                <w:b w:val="0"/>
                <w:i w:val="0"/>
                <w:sz w:val="18"/>
              </w:rPr>
              <w:t>UNA-01</w:t>
            </w:r>
          </w:p>
        </w:tc>
      </w:tr>
      <w:tr>
        <w:trPr>
          <w:cantSplit/>
        </w:trPr>
        <w:tc>
          <w:tcPr>
            <w:tcW w:type="dxa" w:w="2268"/>
            <w:shd w:val="clear" w:color="auto" w:fill="EDF1F7"/>
          </w:tcPr>
          <w:p>
            <w:pPr>
              <w:spacing w:after="40"/>
            </w:pPr>
            <w:r>
              <w:rPr>
                <w:b/>
                <w:color w:val="1F3864"/>
                <w:sz w:val="18"/>
              </w:rPr>
              <w:t>Applies to</w:t>
            </w:r>
          </w:p>
        </w:tc>
        <w:tc>
          <w:tcPr>
            <w:tcW w:type="dxa" w:w="7143"/>
          </w:tcPr>
          <w:p>
            <w:pPr>
              <w:spacing w:after="40" w:line="252" w:lineRule="auto"/>
            </w:pPr>
            <w:r>
              <w:rPr>
                <w:b w:val="0"/>
                <w:i w:val="0"/>
                <w:sz w:val="18"/>
              </w:rPr>
              <w:t>MSA; Order Form; SOW; DPA; NDA</w:t>
            </w:r>
          </w:p>
        </w:tc>
      </w:tr>
      <w:tr>
        <w:trPr>
          <w:cantSplit/>
        </w:trPr>
        <w:tc>
          <w:tcPr>
            <w:tcW w:type="dxa" w:w="2268"/>
            <w:shd w:val="clear" w:color="auto" w:fill="EDF1F7"/>
          </w:tcPr>
          <w:p>
            <w:pPr>
              <w:spacing w:after="40"/>
            </w:pPr>
            <w:r>
              <w:rPr>
                <w:b/>
                <w:color w:val="1F3864"/>
                <w:sz w:val="18"/>
              </w:rPr>
              <w:t>Our position</w:t>
            </w:r>
          </w:p>
        </w:tc>
        <w:tc>
          <w:tcPr>
            <w:tcW w:type="dxa" w:w="7143"/>
          </w:tcPr>
          <w:p>
            <w:pPr>
              <w:spacing w:after="40" w:line="252" w:lineRule="auto"/>
            </w:pPr>
            <w:r>
              <w:rPr>
                <w:b w:val="0"/>
                <w:i w:val="0"/>
                <w:sz w:val="18"/>
              </w:rPr>
              <w:t>Any clause that does not map to a position in this playbook is treated as novel. Examples: AI or model-training rights, benchmarking, ESG or modern slavery audits, source code escrow, most-favoured-customer pricing, regulatory examination rights, and customer-specific service levels. The default answer is no until Legal has written a position.</w:t>
            </w:r>
          </w:p>
        </w:tc>
      </w:tr>
      <w:tr>
        <w:trPr>
          <w:cantSplit/>
        </w:trPr>
        <w:tc>
          <w:tcPr>
            <w:tcW w:type="dxa" w:w="2268"/>
            <w:shd w:val="clear" w:color="auto" w:fill="EDF1F7"/>
          </w:tcPr>
          <w:p>
            <w:pPr>
              <w:spacing w:after="40"/>
            </w:pPr>
            <w:r>
              <w:rPr>
                <w:b/>
                <w:color w:val="1F3864"/>
                <w:sz w:val="18"/>
              </w:rPr>
              <w:t>Fallback</w:t>
            </w:r>
          </w:p>
        </w:tc>
        <w:tc>
          <w:tcPr>
            <w:tcW w:type="dxa" w:w="7143"/>
          </w:tcPr>
          <w:p>
            <w:pPr>
              <w:spacing w:after="40" w:line="252" w:lineRule="auto"/>
            </w:pPr>
            <w:r>
              <w:rPr>
                <w:b w:val="0"/>
                <w:i w:val="0"/>
                <w:sz w:val="18"/>
              </w:rPr>
              <w:t>A time-limited pilot or side letter that isolates the novel obligation, with a documented owner and an exit date.</w:t>
            </w:r>
          </w:p>
        </w:tc>
      </w:tr>
      <w:tr>
        <w:trPr>
          <w:cantSplit/>
        </w:trPr>
        <w:tc>
          <w:tcPr>
            <w:tcW w:type="dxa" w:w="2268"/>
            <w:shd w:val="clear" w:color="auto" w:fill="EDF1F7"/>
          </w:tcPr>
          <w:p>
            <w:pPr>
              <w:spacing w:after="40"/>
            </w:pPr>
            <w:r>
              <w:rPr>
                <w:b/>
                <w:color w:val="1F3864"/>
                <w:sz w:val="18"/>
              </w:rPr>
              <w:t>Walk-away</w:t>
            </w:r>
          </w:p>
        </w:tc>
        <w:tc>
          <w:tcPr>
            <w:tcW w:type="dxa" w:w="7143"/>
          </w:tcPr>
          <w:p>
            <w:pPr>
              <w:spacing w:after="40" w:line="252" w:lineRule="auto"/>
            </w:pPr>
            <w:r>
              <w:rPr>
                <w:b w:val="0"/>
                <w:i w:val="0"/>
                <w:sz w:val="18"/>
              </w:rPr>
              <w:t>A novel obligation that is uncapped, perpetual, or impossible to operationalise. Do not accept it simply because the revenue is strategic.</w:t>
            </w:r>
          </w:p>
        </w:tc>
      </w:tr>
      <w:tr>
        <w:trPr>
          <w:cantSplit/>
        </w:trPr>
        <w:tc>
          <w:tcPr>
            <w:tcW w:type="dxa" w:w="2268"/>
            <w:shd w:val="clear" w:color="auto" w:fill="EDF1F7"/>
          </w:tcPr>
          <w:p>
            <w:pPr>
              <w:spacing w:after="40"/>
            </w:pPr>
            <w:r>
              <w:rPr>
                <w:b/>
                <w:color w:val="1F3864"/>
                <w:sz w:val="18"/>
              </w:rPr>
              <w:t>Approver</w:t>
            </w:r>
          </w:p>
        </w:tc>
        <w:tc>
          <w:tcPr>
            <w:tcW w:type="dxa" w:w="7143"/>
          </w:tcPr>
          <w:p>
            <w:pPr>
              <w:spacing w:after="40" w:line="252" w:lineRule="auto"/>
            </w:pPr>
            <w:r>
              <w:rPr>
                <w:b w:val="0"/>
                <w:i w:val="0"/>
                <w:sz w:val="18"/>
              </w:rPr>
              <w:t>Priya Raghavan.</w:t>
            </w:r>
          </w:p>
        </w:tc>
      </w:tr>
      <w:tr>
        <w:trPr>
          <w:cantSplit/>
        </w:trPr>
        <w:tc>
          <w:tcPr>
            <w:tcW w:type="dxa" w:w="2268"/>
            <w:shd w:val="clear" w:color="auto" w:fill="EDF1F7"/>
          </w:tcPr>
          <w:p>
            <w:pPr>
              <w:spacing w:after="40"/>
            </w:pPr>
            <w:r>
              <w:rPr>
                <w:b/>
                <w:color w:val="1F3864"/>
                <w:sz w:val="18"/>
              </w:rPr>
              <w:t>Rationale / sample language</w:t>
            </w:r>
          </w:p>
        </w:tc>
        <w:tc>
          <w:tcPr>
            <w:tcW w:type="dxa" w:w="7143"/>
          </w:tcPr>
          <w:p>
            <w:pPr>
              <w:spacing w:after="40" w:line="252" w:lineRule="auto"/>
            </w:pPr>
            <w:r>
              <w:rPr>
                <w:b w:val="0"/>
                <w:i w:val="0"/>
                <w:sz w:val="18"/>
              </w:rPr>
              <w:t>Novel clauses are where the playbook earns its keep. They are usually drafted for a different business model and import obligations we cannot meet. The correct response is a written position, not a redline in the room.</w:t>
            </w:r>
          </w:p>
        </w:tc>
      </w:tr>
    </w:tbl>
    <w:p>
      <w:pPr>
        <w:spacing w:after="40"/>
      </w:pPr>
    </w:p>
    <w:sectPr w:rsidR="00FC693F" w:rsidRPr="0006063C" w:rsidSect="00034616">
      <w:headerReference w:type="default" r:id="rId9"/>
      <w:footerReference w:type="default" r:id="rId10"/>
      <w:pgSz w:w="11906" w:h="16838"/>
      <w:pgMar w:top="1247" w:right="1134" w:bottom="1134" w:left="113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Internal — not for external distribution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Bramber Software Limited — Legal &amp; Commercial</w:t>
    </w:r>
    <w:r>
      <w:rPr>
        <w:color w:val="595959"/>
        <w:sz w:val="16"/>
      </w:rPr>
      <w:tab/>
      <w:t>Commercial Contracts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jc w:val="both"/>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Calibri" w:hAnsi="Calibri" w:cs="Calibri" w:eastAsia="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cs="Calibri" w:eastAsia="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cs="Calibri" w:eastAsia="Calibri"/>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Contracts Playbook</dc:title>
  <dc:subject>Commercial contracts playbook</dc:subject>
  <dc:creator>Priya Raghavan</dc:creator>
  <cp:keywords/>
  <dc:description/>
  <cp:lastModifiedBy>Priya Raghavan</cp:lastModifiedBy>
  <cp:revision>1</cp:revision>
  <dcterms:created xsi:type="dcterms:W3CDTF">2026-01-14T09:00:00Z</dcterms:created>
  <dcterms:modified xsi:type="dcterms:W3CDTF">2026-01-14T09:00:00Z</dcterms:modified>
  <cp:category>Commercial legal</cp:category>
</cp:coreProperties>
</file>