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r>
        <w:t xml:space="preserve">The liability of Supplier under this Agreement is uncapped and unlimited, however arising.</w:t>
      </w:r>
    </w:p>
    <w:p>
      <w:pPr>
        <w:pStyle w:val="Heading1"/>
      </w:pPr>
      <w:r>
        <w:t xml:space="preserve">2. Aggregate Cap</w:t>
      </w:r>
    </w:p>
    <w:p>
      <w:r>
        <w:t xml:space="preserve">Supplier's total liability shall not exceed two times the fees paid in the preceding 12 months.</w:t>
      </w:r>
    </w:p>
    <w:p>
      <w:pPr>
        <w:pStyle w:val="Heading1"/>
      </w:pPr>
      <w:r>
        <w:t xml:space="preserve">3. Confidentiality</w:t>
      </w:r>
    </w:p>
    <w:p>
      <w:r>
        <w:t xml:space="preserve">Each Party shall protect the other Party's confidential information with reasonable care. The obligations in this Section survive termination for three (3) years.</w:t>
      </w:r>
    </w:p>
    <w:p>
      <w:pPr>
        <w:pStyle w:val="Heading1"/>
      </w:pPr>
      <w:r>
        <w:t xml:space="preserve">4. Termination</w:t>
      </w:r>
    </w:p>
    <w:p>
      <w:r>
        <w:t xml:space="preserve">Either Party may terminate this Agreement for convenience upon thirty (30) days' prior written notice to the other Party.</w:t>
      </w:r>
    </w:p>
    <w:p>
      <w:pPr>
        <w:pStyle w:val="Heading1"/>
      </w:pPr>
      <w:r>
        <w:t xml:space="preserve">5. Governing Law</w:t>
      </w:r>
    </w:p>
    <w:p>
      <w:r>
        <w:t xml:space="preserve">This Agreement is governed by the laws of the State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