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r>
        <w:t xml:space="preserve">Commercial terms are summarized below.</w:t>
      </w:r>
    </w:p>
    <w:p>
      <w:pPr>
        <w:pStyle w:val="Heading1"/>
      </w:pPr>
      <w:r>
        <w:t xml:space="preserve">1. Pricing Schedule</w:t>
      </w:r>
    </w:p>
    <w:tbl>
      <w:tr>
        <w:tc>
          <w:tcPr>
            <w:tcW w:w="2400" w:type="dxa"/>
          </w:tcPr>
          <w:p>
            <w:r>
              <w:t xml:space="preserve">Term</w:t>
            </w:r>
          </w:p>
        </w:tc>
        <w:tc>
          <w:tcPr>
            <w:tcW w:w="2400" w:type="dxa"/>
          </w:tcPr>
          <w:p>
            <w:r>
              <w:t xml:space="preserve">Duration</w:t>
            </w:r>
          </w:p>
        </w:tc>
      </w:tr>
      <w:tr>
        <w:tc>
          <w:tcPr>
            <w:tcW w:w="2400" w:type="dxa"/>
          </w:tcPr>
          <w:p>
            <w:r>
              <w:t xml:space="preserve">Support</w:t>
            </w:r>
          </w:p>
        </w:tc>
        <w:tc>
          <w:tcPr>
            <w:tcW w:w="2400" w:type="dxa"/>
          </w:tcPr>
          <w:p>
            <w:r>
              <w:t xml:space="preserve">12 months</w:t>
            </w:r>
          </w:p>
        </w:tc>
      </w:tr>
      <w:tr>
        <w:tc>
          <w:tcPr>
            <w:tcW w:w="2400" w:type="dxa"/>
          </w:tcPr>
          <w:p>
            <w:r>
              <w:t xml:space="preserve">Renewal</w:t>
            </w:r>
          </w:p>
        </w:tc>
        <w:tc>
          <w:tcPr>
            <w:tcW w:w="2400" w:type="dxa"/>
          </w:tcPr>
          <w:p>
            <w:r>
              <w:t xml:space="preserve">Automatic</w:t>
            </w:r>
          </w:p>
        </w:tc>
      </w:tr>
    </w:tbl>
    <w:p>
      <w:pPr>
        <w:pStyle w:val="Heading1"/>
      </w:pPr>
      <w:r>
        <w:t xml:space="preserve">2. Governing Law</w:t>
      </w:r>
    </w:p>
    <w:p>
      <w:r>
        <w:t xml:space="preserve">This Agreement is governed by the laws of India.</w:t>
      </w:r>
    </w:p>
    <w:sectPr/>
  </w:body>
</w:document>
</file>

<file path=word/_rels/document.xml.rels><?xml version="1.0" encoding="UTF-8" standalone="yes"?>
<Relationships xmlns="http://schemas.openxmlformats.org/package/2006/relationships"/>

</file>