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 xml:space="preserve">STATEMENT OF WORK NO. 1</w:t>
      </w:r>
    </w:p>
    <w:p>
      <w:pPr>
        <w:jc w:val="center"/>
      </w:pPr>
      <w:r>
        <w:rPr>
          <w:i/>
        </w:rPr>
        <w:t xml:space="preserve">Brand refresh and integrated launch campaign</w:t>
      </w:r>
    </w:p>
    <w:p>
      <w:pPr/>
      <w:r>
        <w:t xml:space="preserve">This Statement of Work No. 1 (the "SOW") is made between:</w:t>
      </w:r>
    </w:p>
    <w:p>
      <w:pPr/>
      <w:r>
        <w:t xml:space="preserve">(1) Beacon Financial Group Inc., a corporation incorporated in Ontario at 200 Bay Street, Suite 3400, Toronto, Ontario (the "Client"); and</w:t>
      </w:r>
    </w:p>
    <w:p>
      <w:pPr/>
      <w:r>
        <w:t xml:space="preserve">(2) Halcyon Creative Inc., a corporation incorporated in Ontario at 88 Spadina Avenue, Toronto, Ontario (the "Agency").</w:t>
      </w:r>
    </w:p>
    <w:p>
      <w:pPr/>
      <w:r>
        <w:t xml:space="preserve">A. This SOW is issued under, and incorporates, the Master Services Agreement between the parties dated 14 March 2025 (the "MSA").</w:t>
      </w:r>
    </w:p>
    <w:p>
      <w:pPr/>
      <w:r>
        <w:t xml:space="preserve">B. The Client wishes the Agency to deliver a brand refresh and an integrated launch campaign.</w:t>
      </w:r>
    </w:p>
    <w:p>
      <w:pPr/>
      <w:r>
        <w:t xml:space="preserve">C. Capitalised terms used in this SOW have the meanings given in the MSA unless defined here.</w:t>
      </w:r>
    </w:p>
    <w:p>
      <w:pPr/>
      <w:r>
        <w:t xml:space="preserve">The parties agree as follows:</w:t>
      </w:r>
    </w:p>
    <w:p>
      <w:pPr/>
      <w:r>
        <w:rPr>
          <w:b/>
        </w:rPr>
        <w:t xml:space="preserve">1. Definitions and Interpretation</w:t>
      </w:r>
    </w:p>
    <w:p>
      <w:pPr/>
      <w:r>
        <w:t xml:space="preserve">In this SOW, "Campaign" means the integrated launch campaign described in Section 2, "Milestone" means a milestone set out in Annex A, and "Rate Card" means the rates set out in Annex B.</w:t>
      </w:r>
    </w:p>
    <w:p>
      <w:pPr/>
      <w:r>
        <w:t xml:space="preserve">"Confidential Information" has the meaning given in the MSA.</w:t>
      </w:r>
    </w:p>
    <w:p>
      <w:pPr/>
      <w:r>
        <w:t xml:space="preserve">"Effective Date" means the date on which this SOW is signed by the last of the parties to sign it.</w:t>
      </w:r>
    </w:p>
    <w:p>
      <w:pPr/>
      <w:r>
        <w:t xml:space="preserve">This SOW is subject to and governed by the MSA. In the event of conflict, the MSA prevails, except on matters of scope, fees and timelines, where this SOW prevails.</w:t>
      </w:r>
    </w:p>
    <w:p>
      <w:pPr/>
      <w:r>
        <w:rPr>
          <w:b/>
        </w:rPr>
        <w:t xml:space="preserve">2. Scope of Services</w:t>
      </w:r>
    </w:p>
    <w:p>
      <w:pPr/>
      <w:r>
        <w:t xml:space="preserve">The Agency shall deliver the Campaign, comprising brand strategy, visual identity, creative production and media planning, in accordance with the MSA and this SOW.</w:t>
      </w:r>
    </w:p>
    <w:p>
      <w:pPr>
        <w:numPr>
          <w:ilvl w:val="1"/>
          <w:numId w:val="109"/>
        </w:numPr>
      </w:pPr>
      <w:r>
        <w:t xml:space="preserve">Brand strategy, positioning and messaging architecture.</w:t>
      </w:r>
    </w:p>
    <w:p>
      <w:pPr>
        <w:numPr>
          <w:ilvl w:val="1"/>
          <w:numId w:val="109"/>
        </w:numPr>
      </w:pPr>
      <w:r>
        <w:t xml:space="preserve">Visual identity system, including logo, colour, type and templates.</w:t>
      </w:r>
    </w:p>
    <w:p>
      <w:pPr>
        <w:numPr>
          <w:ilvl w:val="1"/>
          <w:numId w:val="109"/>
        </w:numPr>
      </w:pPr>
      <w:r>
        <w:t xml:space="preserve">Campaign creative for television, out-of-home, digital and social channels.</w:t>
      </w:r>
    </w:p>
    <w:p>
      <w:pPr>
        <w:numPr>
          <w:ilvl w:val="1"/>
          <w:numId w:val="109"/>
        </w:numPr>
      </w:pPr>
      <w:r>
        <w:t xml:space="preserve">Media plan and buying schedule for the launch window.</w:t>
      </w:r>
    </w:p>
    <w:p>
      <w:pPr/>
      <w:r>
        <w:rPr>
          <w:b/>
        </w:rPr>
        <w:t xml:space="preserve">3. Deliverables and Milestones</w:t>
      </w:r>
    </w:p>
    <w:p>
      <w:pPr/>
      <w:r>
        <w:t xml:space="preserve">The Agency shall deliver the Deliverables in accordance with the milestone schedule set out in Annex A, which forms part of this SOW.</w:t>
      </w:r>
    </w:p>
    <w:p>
      <w:pPr/>
      <w:r>
        <w:t xml:space="preserve">Each Milestone is achieved when the Agency has delivered the corresponding Deliverable and the Client has accepted it under Section 8.</w:t>
      </w:r>
    </w:p>
    <w:p>
      <w:pPr/>
      <w:r>
        <w:rPr>
          <w:b/>
        </w:rPr>
        <w:t xml:space="preserve">4. Fees and Payment</w:t>
      </w:r>
    </w:p>
    <w:p>
      <w:pPr/>
      <w:r>
        <w:t xml:space="preserve">4.1 The Client shall pay the milestone fees set out in Annex A and in the table below.</w:t>
      </w:r>
    </w:p>
    <w:p>
      <w:pPr/>
      <w:r>
        <w:t xml:space="preserve">4.2 The Client shall pay each milestone fee within sixty (60) days of the milestone date.</w:t>
      </w:r>
    </w:p>
    <w:p>
      <w:pPr/>
      <w:r>
        <w:t xml:space="preserve">4.3 All amounts are exclusive of applicable taxes, which are payable in addition.</w:t>
      </w:r>
    </w:p>
    <w:p>
      <w:pPr/>
      <w:r>
        <w:rPr>
          <w:b/>
        </w:rPr>
        <w:t xml:space="preserve">5. Expenses</w:t>
      </w:r>
    </w:p>
    <w:p>
      <w:pPr/>
      <w:r>
        <w:t xml:space="preserve">5.1 The Client shall reimburse pre-approved expenses at cost. Expenses above CAD 5,000 in any month require prior written approval.</w:t>
      </w:r>
    </w:p>
    <w:p>
      <w:pPr/>
      <w:r>
        <w:rPr>
          <w:b/>
        </w:rPr>
        <w:t xml:space="preserve">6. Change Control</w:t>
      </w:r>
    </w:p>
    <w:p>
      <w:pPr/>
      <w:r>
        <w:t xml:space="preserve">6.1 Any change to scope, deliverables or timelines requires a signed change order before the Agency performs the changed work.</w:t>
      </w:r>
    </w:p>
    <w:p>
      <w:pPr/>
      <w:r>
        <w:t xml:space="preserve">6.2 A change order once signed forms part of this SOW.</w:t>
      </w:r>
    </w:p>
    <w:p>
      <w:pPr/>
      <w:r>
        <w:rPr>
          <w:b/>
        </w:rPr>
        <w:t xml:space="preserve">7. Assumptions and Client Dependencies</w:t>
      </w:r>
    </w:p>
    <w:p>
      <w:pPr/>
      <w:r>
        <w:t xml:space="preserve">7.1 The Services are based on the assumptions set out in this Section. If an assumption proves false, the parties shall agree a change order before further work.</w:t>
      </w:r>
    </w:p>
    <w:p>
      <w:pPr/>
      <w:r>
        <w:t xml:space="preserve">7.2 The Client shall provide brand assets, approved messaging and legal sign-off within the timelines reasonably requested by the Agency.</w:t>
      </w:r>
    </w:p>
    <w:p>
      <w:pPr/>
      <w:r>
        <w:rPr>
          <w:b/>
        </w:rPr>
        <w:t xml:space="preserve">8. Acceptance</w:t>
      </w:r>
    </w:p>
    <w:p>
      <w:pPr/>
      <w:r>
        <w:t xml:space="preserve">8.1 The Client shall review each Deliverable within five (5) business days and either accept it or give specific written comments.</w:t>
      </w:r>
    </w:p>
    <w:p>
      <w:pPr/>
      <w:r>
        <w:t xml:space="preserve">8.2 The Client may request unlimited revisions to any Deliverable at no additional cost.</w:t>
      </w:r>
    </w:p>
    <w:p>
      <w:pPr/>
      <w:r>
        <w:t xml:space="preserve">8.3 A Deliverable is deemed accepted if the Client does not respond within the review period.</w:t>
      </w:r>
    </w:p>
    <w:p>
      <w:pPr/>
      <w:r>
        <w:rPr>
          <w:b/>
        </w:rPr>
        <w:t xml:space="preserve">9. Intellectual Property in SOW Deliverables</w:t>
      </w:r>
    </w:p>
    <w:p>
      <w:pPr/>
      <w:r>
        <w:t xml:space="preserve">9.1 Subject to Section 7 of the MSA, the Client owns the SOW Deliverables on payment, and the Agency retains its Agency Tools and grants the Client a perpetual licence to use them as embedded in the Deliverables.</w:t>
      </w:r>
    </w:p>
    <w:p>
      <w:pPr/>
      <w:r>
        <w:t xml:space="preserve">9.2 The Agency's licence to reuse generic concepts and non-confidential know-how is unaffected by this SOW.</w:t>
      </w:r>
    </w:p>
    <w:p>
      <w:pPr/>
      <w:r>
        <w:rPr>
          <w:b/>
        </w:rPr>
        <w:t xml:space="preserve">10. Confidentiality</w:t>
      </w:r>
    </w:p>
    <w:p>
      <w:pPr/>
      <w:r>
        <w:t xml:space="preserve">10.1 Section 9 of the MSA applies to this SOW and to all Confidential Information exchanged under it.</w:t>
      </w:r>
    </w:p>
    <w:p>
      <w:pPr/>
      <w:r>
        <w:t xml:space="preserve">10.2 The Agency may share Confidential Information with its approved subcontractors under Section 3.3 of the MSA.</w:t>
      </w:r>
    </w:p>
    <w:p>
      <w:pPr/>
      <w:r>
        <w:rPr>
          <w:b/>
        </w:rPr>
        <w:t xml:space="preserve">11. Term</w:t>
      </w:r>
    </w:p>
    <w:p>
      <w:pPr/>
      <w:r>
        <w:t xml:space="preserve">11.1 This SOW begins on the Effective Date and continues until all Milestones are complete or the SOW is terminated in accordance with the MSA.</w:t>
      </w:r>
    </w:p>
    <w:p>
      <w:pPr/>
      <w:r>
        <w:t xml:space="preserve">11.2 The Client may cancel the Campaign at any time without further liability on payment of the fees for the Milestones achieved.</w:t>
      </w:r>
    </w:p>
    <w:p>
      <w:pPr/>
      <w:r>
        <w:rPr>
          <w:b/>
        </w:rPr>
        <w:t xml:space="preserve">12. Governing Law</w:t>
      </w:r>
    </w:p>
    <w:p>
      <w:pPr/>
      <w:r>
        <w:t xml:space="preserve">12.1 Notwithstanding Section 19 of the MSA, this SOW and any dispute arising out of it are governed by the laws of England and Wales, and the parties submit to the exclusive jurisdiction of the courts of England and Wales.</w:t>
      </w:r>
    </w:p>
    <w:p>
      <w:pPr/>
      <w:r>
        <w:rPr>
          <w:b/>
        </w:rPr>
        <w:t xml:space="preserve">13. Warranties and Disclaimers</w:t>
      </w:r>
    </w:p>
    <w:p>
      <w:pPr/>
      <w:r>
        <w:t xml:space="preserve">Each party warrants that it has authority to enter into this SOW and that its performance will comply with applicable law.</w:t>
      </w:r>
    </w:p>
    <w:p>
      <w:pPr/>
      <w:r>
        <w:t xml:space="preserve">The Agency warrants that the Deliverables will be its original work or properly licensed and that the Services will be performed with reasonable skill and care.</w:t>
      </w:r>
    </w:p>
    <w:p>
      <w:pPr/>
      <w:r>
        <w:t xml:space="preserve">Except as expressly stated in the MSA and this SOW, all warranties, conditions and terms implied by law are excluded to the fullest extent permitted by applicable law.</w:t>
      </w:r>
    </w:p>
    <w:p>
      <w:pPr/>
      <w:r>
        <w:rPr>
          <w:b/>
        </w:rPr>
        <w:t xml:space="preserve">14. Data Protection</w:t>
      </w:r>
    </w:p>
    <w:p>
      <w:pPr/>
      <w:r>
        <w:t xml:space="preserve">Each party shall comply with applicable privacy and data protection law in connection with this SOW.</w:t>
      </w:r>
    </w:p>
    <w:p>
      <w:pPr/>
      <w:r>
        <w:t xml:space="preserve">Where the Agency processes personal data on the Client's behalf for the Campaign, the parties shall complete the data protection schedule referenced in Section 10 of the MSA before any such processing begins.</w:t>
      </w:r>
    </w:p>
    <w:p>
      <w:pPr/>
      <w:r>
        <w:t xml:space="preserve">The Agency shall implement reasonable technical and organisational measures to protect personal data used for the Campaign.</w:t>
      </w:r>
    </w:p>
    <w:p>
      <w:pPr/>
      <w:r>
        <w:rPr>
          <w:b/>
        </w:rPr>
        <w:t xml:space="preserve">15. Insurance</w:t>
      </w:r>
    </w:p>
    <w:p>
      <w:pPr/>
      <w:r>
        <w:t xml:space="preserve">The Agency shall maintain professional indemnity and general liability insurance of at least CAD 2,000,000 per claim throughout the term of this SOW.</w:t>
      </w:r>
    </w:p>
    <w:p>
      <w:pPr/>
      <w:r>
        <w:t xml:space="preserve">On reasonable request, the Agency shall provide a certificate of insurance to the Client.</w:t>
      </w:r>
    </w:p>
    <w:p>
      <w:pPr/>
      <w:r>
        <w:rPr>
          <w:b/>
        </w:rPr>
        <w:t xml:space="preserve">16. Force Majeure</w:t>
      </w:r>
    </w:p>
    <w:p>
      <w:pPr/>
      <w:r>
        <w:t xml:space="preserve">Neither party is liable for a failure to perform an obligation under this SOW to the extent caused by an event beyond its reasonable control, including a failure of public telecommunications networks or a public-health emergency.</w:t>
      </w:r>
    </w:p>
    <w:p>
      <w:pPr/>
      <w:r>
        <w:t xml:space="preserve">The affected party shall notify the other promptly and use reasonable efforts to mitigate the effect of the event.</w:t>
      </w:r>
    </w:p>
    <w:p>
      <w:pPr/>
      <w:r>
        <w:t xml:space="preserve">If the event continues for more than sixty (60) consecutive days, either party may terminate the affected part of this SOW on written notice.</w:t>
      </w:r>
    </w:p>
    <w:p>
      <w:pPr/>
      <w:r>
        <w:rPr>
          <w:b/>
        </w:rPr>
        <w:t xml:space="preserve">17. Dispute Resolution</w:t>
      </w:r>
    </w:p>
    <w:p>
      <w:pPr/>
      <w:r>
        <w:t xml:space="preserve">The parties shall first refer any dispute about this SOW to a senior representative of each party, who shall meet within ten (10) business days and negotiate in good faith for a further twenty (20) business days.</w:t>
      </w:r>
    </w:p>
    <w:p>
      <w:pPr/>
      <w:r>
        <w:t xml:space="preserve">If the dispute is not resolved, either party may commence proceedings under Section 12 of this SOW.</w:t>
      </w:r>
    </w:p>
    <w:p>
      <w:pPr/>
      <w:r>
        <w:rPr>
          <w:b/>
        </w:rPr>
        <w:t xml:space="preserve">18. Notices</w:t>
      </w:r>
    </w:p>
    <w:p>
      <w:pPr/>
      <w:r>
        <w:t xml:space="preserve">A notice under this SOW must be in writing and sent to the address of the relevant party set out above, or to such other address as a party notifies to the other.</w:t>
      </w:r>
    </w:p>
    <w:p>
      <w:pPr/>
      <w:r>
        <w:t xml:space="preserve">Notices to the Agency shall be copied to commercial.legal@halcyoncreative.example.</w:t>
      </w:r>
    </w:p>
    <w:p>
      <w:pPr/>
      <w:r>
        <w:rPr>
          <w:b/>
        </w:rPr>
        <w:t xml:space="preserve">19. Third Party Rights</w:t>
      </w:r>
    </w:p>
    <w:p>
      <w:pPr/>
      <w:r>
        <w:t xml:space="preserve">This SOW does not confer rights on any person who is not a party to it.</w:t>
      </w:r>
    </w:p>
    <w:p>
      <w:pPr/>
      <w:r>
        <w:rPr>
          <w:b/>
        </w:rPr>
        <w:t xml:space="preserve">20. Counterparts and Electronic Signature</w:t>
      </w:r>
    </w:p>
    <w:p>
      <w:pPr/>
      <w:r>
        <w:t xml:space="preserve">This SOW may be executed in counterparts and by electronic signature, each of which is an original and all of which together form one instrument.</w:t>
      </w:r>
    </w:p>
    <w:p>
      <w:pPr/>
      <w:r>
        <w:rPr>
          <w:b/>
        </w:rPr>
        <w:t xml:space="preserve">21. Records</w:t>
      </w:r>
    </w:p>
    <w:p>
      <w:pPr/>
      <w:r>
        <w:t xml:space="preserve">The Agency shall keep accurate records of the Services and the Milestones and shall make them available to the Client on reasonable request.</w:t>
      </w:r>
    </w:p>
    <w:p>
      <w:pPr/>
      <w:r>
        <w:t xml:space="preserve">Records relating to media spend shall be retained for six (6) years after the end of the Campaign.</w:t>
      </w:r>
    </w:p>
    <w:p>
      <w:pPr/>
      <w:r>
        <w:rPr>
          <w:b/>
        </w:rPr>
        <w:t xml:space="preserve">22. Compliance with Laws</w:t>
      </w:r>
    </w:p>
    <w:p>
      <w:pPr/>
      <w:r>
        <w:t xml:space="preserve">Each party shall comply with all applicable laws in connection with this SOW, including advertising and marketing standards and, where relevant, financial-promotion rules.</w:t>
      </w:r>
    </w:p>
    <w:p>
      <w:pPr/>
      <w:r>
        <w:t xml:space="preserve">The Client is responsible for obtaining any regulatory approval required for the Campaign content.</w:t>
      </w:r>
    </w:p>
    <w:p>
      <w:pPr/>
      <w:r>
        <w:rPr>
          <w:b/>
        </w:rPr>
        <w:t xml:space="preserve">23. Brand Assets and Registrations</w:t>
      </w:r>
    </w:p>
    <w:p>
      <w:pPr/>
      <w:r>
        <w:t xml:space="preserve">The Client grants the Agency a licence to use the Client's brand assets solely to perform the Campaign during the term of this SOW.</w:t>
      </w:r>
    </w:p>
    <w:p>
      <w:pPr/>
      <w:r>
        <w:t xml:space="preserve">The Agency shall not register, or permit any third party to register, any trade mark that is confusingly similar to the Client's trade marks.</w:t>
      </w:r>
    </w:p>
    <w:p>
      <w:pPr/>
      <w:r>
        <w:rPr>
          <w:b/>
        </w:rPr>
        <w:t xml:space="preserve">24. Media Platforms and Third-Party Terms</w:t>
      </w:r>
    </w:p>
    <w:p>
      <w:pPr/>
      <w:r>
        <w:t xml:space="preserve">The Agency shall place media on third-party platforms in accordance with the media plan approved by the Client.</w:t>
      </w:r>
    </w:p>
    <w:p>
      <w:pPr/>
      <w:r>
        <w:t xml:space="preserve">The Client acknowledges that third-party platforms have their own terms and that the Agency is not responsible for a platform's own decisions, outages or policy changes.</w:t>
      </w:r>
    </w:p>
    <w:p>
      <w:pPr/>
      <w:r>
        <w:t xml:space="preserve">The Agency shall pass through to the Client any platform credits or rebates that it receives in connection with the Campaign.</w:t>
      </w:r>
    </w:p>
    <w:p>
      <w:pPr/>
      <w:r>
        <w:rPr>
          <w:b/>
        </w:rPr>
        <w:t xml:space="preserve">25. Reporting and Measurement</w:t>
      </w:r>
    </w:p>
    <w:p>
      <w:pPr/>
      <w:r>
        <w:t xml:space="preserve">The Agency shall provide a written performance report within twenty (20) business days of the end of each campaign phase.</w:t>
      </w:r>
    </w:p>
    <w:p>
      <w:pPr/>
      <w:r>
        <w:t xml:space="preserve">The report shall summarise delivery against the agreed plan and any media available to the Agency.</w:t>
      </w:r>
    </w:p>
    <w:p>
      <w:pPr/>
      <w:r>
        <w:rPr>
          <w:b/>
        </w:rPr>
        <w:t xml:space="preserve">26. Quality Control and Corrections</w:t>
      </w:r>
    </w:p>
    <w:p>
      <w:pPr/>
      <w:r>
        <w:t xml:space="preserve">The Agency shall correct any Deliverable that does not conform to the agreed scope, provided the Client notifies the Agency in writing within ten (10) business days of delivery.</w:t>
      </w:r>
    </w:p>
    <w:p>
      <w:pPr/>
      <w:r>
        <w:t xml:space="preserve">This Section does not cover changes that are a matter of the Client's taste or a change of mind, which are handled under Section 6.</w:t>
      </w:r>
    </w:p>
    <w:p>
      <w:pPr/>
      <w:r>
        <w:rPr>
          <w:b/>
        </w:rPr>
        <w:t xml:space="preserve">27. Annex A – Milestone Schedule</w:t>
      </w:r>
    </w:p>
    <w:p>
      <w:pPr/>
      <w:r>
        <w:t xml:space="preserve">The milestone and deliverables schedule below forms part of this SOW and sets out the fees payable for each Milestone.</w:t>
      </w:r>
    </w:p>
    <w:p>
      <w:pPr/>
      <w:r>
        <w:rPr>
          <w:b/>
        </w:rPr>
        <w:t xml:space="preserve">28. Annex B – Rate Card</w:t>
      </w:r>
    </w:p>
    <w:p>
      <w:pPr/>
      <w:r>
        <w:t xml:space="preserve">The following day rates apply to any work agreed on a time-and-materials basis under a change order.</w:t>
      </w:r>
    </w:p>
    <w:p>
      <w:pPr/>
      <w:r>
        <w:t xml:space="preserve">IN WITNESS WHEREOF, the parties have executed this Agreement as of the date written below.</w:t>
      </w:r>
    </w:p>
    <w:p>
      <w:pPr/>
      <w:r>
        <w:t xml:space="preserve"/>
      </w:r>
    </w:p>
    <w:p>
      <w:pPr/>
      <w:r>
        <w:t xml:space="preserve">Signed for and on behalf of Beacon Financial Group Inc.</w:t>
      </w:r>
    </w:p>
    <w:p>
      <w:pPr/>
      <w:r>
        <w:t xml:space="preserve">Signature: ____________________________</w:t>
      </w:r>
    </w:p>
    <w:p>
      <w:pPr/>
      <w:r>
        <w:t xml:space="preserve">Name: ____________________________</w:t>
      </w:r>
    </w:p>
    <w:p>
      <w:pPr/>
      <w:r>
        <w:t xml:space="preserve">Title: Authorised Signatory</w:t>
      </w:r>
    </w:p>
    <w:p>
      <w:pPr/>
      <w:r>
        <w:t xml:space="preserve">Date: ____________________</w:t>
      </w:r>
    </w:p>
    <w:p>
      <w:pPr/>
      <w:r>
        <w:t xml:space="preserve"/>
      </w:r>
    </w:p>
    <w:p>
      <w:pPr/>
      <w:r>
        <w:t xml:space="preserve">Signed for and on behalf of Halcyon Creative Inc.</w:t>
      </w:r>
    </w:p>
    <w:p>
      <w:pPr/>
      <w:r>
        <w:t xml:space="preserve">Signature: ____________________________</w:t>
      </w:r>
    </w:p>
    <w:p>
      <w:pPr/>
      <w:r>
        <w:t xml:space="preserve">Name: ____________________________</w:t>
      </w:r>
    </w:p>
    <w:p>
      <w:pPr/>
      <w:r>
        <w:t xml:space="preserve">Title: Director</w:t>
      </w:r>
    </w:p>
    <w:p>
      <w:pPr/>
      <w:r>
        <w:t xml:space="preserve">Date: ____________________</w:t>
      </w:r>
    </w:p>
    <w:p>
      <w:pPr/>
      <w:r>
        <w:t xml:space="preserve"/>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Basis</w:t>
            </w:r>
          </w:p>
        </w:tc>
        <w:tc>
          <w:tcPr>
            <w:tcW w:type="dxa" w:w="2880"/>
          </w:tcPr>
          <w:p>
            <w:r/>
            <w:r>
              <w:rPr>
                <w:b/>
              </w:rPr>
              <w:t>Amount</w:t>
            </w:r>
          </w:p>
        </w:tc>
      </w:tr>
      <w:tr>
        <w:tc>
          <w:tcPr>
            <w:tcW w:type="dxa" w:w="2880"/>
          </w:tcPr>
          <w:p>
            <w:r/>
            <w:r>
              <w:t>Professional fees</w:t>
            </w:r>
          </w:p>
        </w:tc>
        <w:tc>
          <w:tcPr>
            <w:tcW w:type="dxa" w:w="2880"/>
          </w:tcPr>
          <w:p>
            <w:r/>
            <w:r>
              <w:t>Milestone fees in Annex A</w:t>
            </w:r>
          </w:p>
        </w:tc>
        <w:tc>
          <w:tcPr>
            <w:tcW w:type="dxa" w:w="2880"/>
          </w:tcPr>
          <w:p>
            <w:r/>
            <w:r>
              <w:t>CAD 245,000</w:t>
            </w:r>
          </w:p>
        </w:tc>
      </w:tr>
      <w:tr>
        <w:tc>
          <w:tcPr>
            <w:tcW w:type="dxa" w:w="2880"/>
          </w:tcPr>
          <w:p>
            <w:r/>
            <w:r>
              <w:t>Media spend</w:t>
            </w:r>
          </w:p>
        </w:tc>
        <w:tc>
          <w:tcPr>
            <w:tcW w:type="dxa" w:w="2880"/>
          </w:tcPr>
          <w:p>
            <w:r/>
            <w:r>
              <w:t>Media spend is included in the Agency's fees and is not separately reimbursed.</w:t>
            </w:r>
          </w:p>
        </w:tc>
        <w:tc>
          <w:tcPr>
            <w:tcW w:type="dxa" w:w="2880"/>
          </w:tcPr>
          <w:p>
            <w:r/>
            <w:r>
              <w:t>Nil</w:t>
            </w:r>
          </w:p>
        </w:tc>
      </w:tr>
      <w:tr>
        <w:tc>
          <w:tcPr>
            <w:tcW w:type="dxa" w:w="2880"/>
          </w:tcPr>
          <w:p>
            <w:r/>
            <w:r>
              <w:t>Contingency</w:t>
            </w:r>
          </w:p>
        </w:tc>
        <w:tc>
          <w:tcPr>
            <w:tcW w:type="dxa" w:w="2880"/>
          </w:tcPr>
          <w:p>
            <w:r/>
            <w:r>
              <w:t>Drawn only on a signed change order</w:t>
            </w:r>
          </w:p>
        </w:tc>
        <w:tc>
          <w:tcPr>
            <w:tcW w:type="dxa" w:w="2880"/>
          </w:tcPr>
          <w:p>
            <w:r/>
            <w:r>
              <w:t>CAD 20,000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Milestone</w:t>
            </w:r>
          </w:p>
        </w:tc>
        <w:tc>
          <w:tcPr>
            <w:tcW w:type="dxa" w:w="2160"/>
          </w:tcPr>
          <w:p>
            <w:r/>
            <w:r>
              <w:rPr>
                <w:b/>
              </w:rPr>
              <w:t>Deliverable</w:t>
            </w:r>
          </w:p>
        </w:tc>
        <w:tc>
          <w:tcPr>
            <w:tcW w:type="dxa" w:w="2160"/>
          </w:tcPr>
          <w:p>
            <w:r/>
            <w:r>
              <w:rPr>
                <w:b/>
              </w:rPr>
              <w:t>Due date</w:t>
            </w:r>
          </w:p>
        </w:tc>
        <w:tc>
          <w:tcPr>
            <w:tcW w:type="dxa" w:w="2160"/>
          </w:tcPr>
          <w:p>
            <w:r/>
            <w:r>
              <w:rPr>
                <w:b/>
              </w:rPr>
              <w:t>Milestone fee</w:t>
            </w:r>
          </w:p>
        </w:tc>
      </w:tr>
      <w:tr>
        <w:tc>
          <w:tcPr>
            <w:tcW w:type="dxa" w:w="2160"/>
          </w:tcPr>
          <w:p>
            <w:r/>
            <w:r>
              <w:t>M1</w:t>
            </w:r>
          </w:p>
        </w:tc>
        <w:tc>
          <w:tcPr>
            <w:tcW w:type="dxa" w:w="2160"/>
          </w:tcPr>
          <w:p>
            <w:r/>
            <w:r>
              <w:t>Brand strategy and positioning</w:t>
            </w:r>
          </w:p>
        </w:tc>
        <w:tc>
          <w:tcPr>
            <w:tcW w:type="dxa" w:w="2160"/>
          </w:tcPr>
          <w:p>
            <w:r/>
            <w:r>
              <w:t>30 April 2025</w:t>
            </w:r>
          </w:p>
        </w:tc>
        <w:tc>
          <w:tcPr>
            <w:tcW w:type="dxa" w:w="2160"/>
          </w:tcPr>
          <w:p>
            <w:r/>
            <w:r>
              <w:t>CAD 60,000</w:t>
            </w:r>
          </w:p>
        </w:tc>
      </w:tr>
      <w:tr>
        <w:tc>
          <w:tcPr>
            <w:tcW w:type="dxa" w:w="2160"/>
          </w:tcPr>
          <w:p>
            <w:r/>
            <w:r>
              <w:t>M2</w:t>
            </w:r>
          </w:p>
        </w:tc>
        <w:tc>
          <w:tcPr>
            <w:tcW w:type="dxa" w:w="2160"/>
          </w:tcPr>
          <w:p>
            <w:r/>
            <w:r>
              <w:t>Visual identity system</w:t>
            </w:r>
          </w:p>
        </w:tc>
        <w:tc>
          <w:tcPr>
            <w:tcW w:type="dxa" w:w="2160"/>
          </w:tcPr>
          <w:p>
            <w:r/>
            <w:r>
              <w:t>31 May 2025</w:t>
            </w:r>
          </w:p>
        </w:tc>
        <w:tc>
          <w:tcPr>
            <w:tcW w:type="dxa" w:w="2160"/>
          </w:tcPr>
          <w:p>
            <w:r/>
            <w:r>
              <w:t>CAD 75,000</w:t>
            </w:r>
          </w:p>
        </w:tc>
      </w:tr>
      <w:tr>
        <w:tc>
          <w:tcPr>
            <w:tcW w:type="dxa" w:w="2160"/>
          </w:tcPr>
          <w:p>
            <w:r/>
            <w:r>
              <w:t>M3</w:t>
            </w:r>
          </w:p>
        </w:tc>
        <w:tc>
          <w:tcPr>
            <w:tcW w:type="dxa" w:w="2160"/>
          </w:tcPr>
          <w:p>
            <w:r/>
            <w:r>
              <w:t>Campaign creative and media plan</w:t>
            </w:r>
          </w:p>
        </w:tc>
        <w:tc>
          <w:tcPr>
            <w:tcW w:type="dxa" w:w="2160"/>
          </w:tcPr>
          <w:p>
            <w:r/>
            <w:r>
              <w:t>30 June 2025</w:t>
            </w:r>
          </w:p>
        </w:tc>
        <w:tc>
          <w:tcPr>
            <w:tcW w:type="dxa" w:w="2160"/>
          </w:tcPr>
          <w:p>
            <w:r/>
            <w:r>
              <w:t>CAD 110,000</w:t>
            </w:r>
          </w:p>
        </w:tc>
      </w:tr>
      <w:tr>
        <w:tc>
          <w:tcPr>
            <w:tcW w:type="dxa" w:w="6480"/>
            <w:gridSpan w:val="3"/>
          </w:tcPr>
          <w:p>
            <w:r/>
            <w:r>
              <w:t>M1 to M3</w:t>
            </w:r>
          </w:p>
          <w:p>
            <w:r/>
            <w:r>
              <w:t>Total milestone fees</w:t>
            </w:r>
          </w:p>
          <w:p>
            <w:r/>
            <w:r/>
          </w:p>
        </w:tc>
        <w:tc>
          <w:tcPr>
            <w:tcW w:type="dxa" w:w="2160"/>
          </w:tcPr>
          <w:p>
            <w:r/>
            <w:r>
              <w:t>CAD 245,000</w:t>
            </w:r>
          </w:p>
        </w:tc>
      </w:tr>
    </w:tbl>
    <w:tbl>
      <w:tblPr>
        <w:tblStyle w:val="TableGrid"/>
        <w:tblW w:type="auto" w:w="0"/>
        <w:tblLook w:firstColumn="1" w:firstRow="1" w:lastColumn="0" w:lastRow="0" w:noHBand="0" w:noVBand="1" w:val="04A0"/>
      </w:tblPr>
      <w:tblGrid>
        <w:gridCol w:w="4320"/>
        <w:gridCol w:w="4320"/>
      </w:tblGrid>
      <w:tr>
        <w:tc>
          <w:tcPr>
            <w:tcW w:type="dxa" w:w="8640"/>
            <w:gridSpan w:val="2"/>
          </w:tcPr>
          <w:p>
            <w:r/>
            <w:r>
              <w:rPr>
                <w:b/>
              </w:rPr>
              <w:t>Role</w:t>
            </w:r>
          </w:p>
          <w:p>
            <w:r/>
            <w:r>
              <w:rPr>
                <w:b/>
              </w:rPr>
              <w:t>Day rate</w:t>
            </w:r>
          </w:p>
        </w:tc>
      </w:tr>
      <w:tr>
        <w:tc>
          <w:tcPr>
            <w:tcW w:type="dxa" w:w="4320"/>
          </w:tcPr>
          <w:p>
            <w:r/>
            <w:r>
              <w:t>Creative director</w:t>
            </w:r>
          </w:p>
        </w:tc>
        <w:tc>
          <w:tcPr>
            <w:tcW w:type="dxa" w:w="4320"/>
          </w:tcPr>
          <w:p>
            <w:r/>
            <w:r>
              <w:t>CAD 2,400</w:t>
            </w:r>
          </w:p>
        </w:tc>
      </w:tr>
      <w:tr>
        <w:tc>
          <w:tcPr>
            <w:tcW w:type="dxa" w:w="4320"/>
          </w:tcPr>
          <w:p>
            <w:r/>
            <w:r>
              <w:t>Senior designer</w:t>
            </w:r>
          </w:p>
        </w:tc>
        <w:tc>
          <w:tcPr>
            <w:tcW w:type="dxa" w:w="4320"/>
          </w:tcPr>
          <w:p>
            <w:r/>
            <w:r>
              <w:t>CAD 1,400</w:t>
            </w:r>
          </w:p>
        </w:tc>
      </w:tr>
      <w:tr>
        <w:tc>
          <w:tcPr>
            <w:tcW w:type="dxa" w:w="4320"/>
          </w:tcPr>
          <w:p>
            <w:r/>
            <w:r>
              <w:t>Strategist</w:t>
            </w:r>
          </w:p>
        </w:tc>
        <w:tc>
          <w:tcPr>
            <w:tcW w:type="dxa" w:w="4320"/>
          </w:tcPr>
          <w:p>
            <w:r/>
            <w:r>
              <w:t>CAD 1,800</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Beacon Financial / Halcyon Creative — SOW No.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 DRAFT v2 – STATEMENT OF 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9">
    <w:nsid w:val="00000306"/>
    <w:multiLevelType w:val="multilevel"/>
    <w:lvl w:ilvl="0">
      <w:start w:val="1"/>
      <w:numFmt w:val="decimal"/>
      <w:lvlText w:val="%1."/>
      <w:lvlJc w:val="left"/>
      <w:pPr>
        <w:ind w:left="720" w:hanging="360"/>
      </w:pPr>
    </w:lvl>
    <w:lvl w:ilvl="1">
      <w:start w:val="1"/>
      <w:numFmt w:val="decimal"/>
      <w:lvlText w:val="%1.%2"/>
      <w:lvlJc w:val="left"/>
      <w:pPr>
        <w:ind w:left="1080" w:hanging="360"/>
      </w:pPr>
    </w:lvl>
    <w:lvl w:ilvl="2">
      <w:start w:val="1"/>
      <w:numFmt w:val="lowerLetter"/>
      <w:lvlText w:val="(%3)"/>
      <w:lvlJc w:val="left"/>
      <w:pPr>
        <w:ind w:left="1440" w:hanging="360"/>
      </w:pPr>
    </w:lvl>
  </w:abstract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