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Calibri" w:hAnsi="Calibri" w:cs="Calibri"/>
          <w:b/>
          <w:i w:val="0"/>
          <w:caps/>
          <w:sz w:val="28"/>
          <w:u w:val="none"/>
        </w:rPr>
        <w:t>Non-Disclosure Agreement</w:t>
      </w:r>
    </w:p>
    <w:p>
      <w:pPr>
        <w:spacing w:before="0" w:after="240" w:line="276" w:lineRule="auto"/>
        <w:jc w:val="center"/>
      </w:pPr>
      <w:r>
        <w:rPr>
          <w:rFonts w:ascii="Times New Roman" w:hAnsi="Times New Roman" w:cs="Times New Roman"/>
          <w:b w:val="0"/>
          <w:i/>
          <w:sz w:val="20"/>
          <w:u w:val="none"/>
        </w:rPr>
        <w:t>Single-sided — the Discloser is Venkateswara Industrial Analytics Private Limited</w:t>
      </w:r>
    </w:p>
    <w:p>
      <w:pPr>
        <w:spacing w:before="0" w:after="120" w:line="276" w:lineRule="auto"/>
      </w:pPr>
      <w:r>
        <w:rPr>
          <w:rFonts w:ascii="Times New Roman" w:hAnsi="Times New Roman" w:cs="Times New Roman"/>
          <w:b w:val="0"/>
          <w:i w:val="0"/>
          <w:u w:val="none"/>
        </w:rPr>
        <w:t>THIS AGREEMENT is made on 11 September 2026 between Venkateswara Industrial Analytics Private Limited, a company incorporated in India with registered office at 4th Floor, Sterling House, DB Road, Pune 411001, Maharashtra (the “Discloser”), and Kaveri Precision Industries Private Limited, a company incorporated in India with registered office at Plot 14, SIDCO Industrial Estate, Ambattur, Chennai 600098, Tamil Nadu (the “Recipient”). The Discloser and the Recipient are each a “Party”.</w:t>
      </w:r>
    </w:p>
    <w:p>
      <w:pPr>
        <w:spacing w:before="0" w:after="120" w:line="276" w:lineRule="auto"/>
      </w:pPr>
      <w:r>
        <w:rPr>
          <w:rFonts w:ascii="Times New Roman" w:hAnsi="Times New Roman" w:cs="Times New Roman"/>
          <w:b w:val="0"/>
          <w:i w:val="0"/>
          <w:u w:val="none"/>
        </w:rPr>
        <w:t>WHEREAS the Discloser intends to disclose certain technical and commercial information to the Recipient for the evaluation of a possible supply arrangement, and the Recipient is willing to receive it on the terms set out below.</w:t>
      </w:r>
    </w:p>
    <w:p>
      <w:pPr>
        <w:spacing w:before="0" w:after="120" w:line="276" w:lineRule="auto"/>
      </w:pPr>
      <w:r>
        <w:rPr>
          <w:rFonts w:ascii="Times New Roman" w:hAnsi="Times New Roman" w:cs="Times New Roman"/>
          <w:b w:val="0"/>
          <w:i w:val="0"/>
          <w:u w:val="none"/>
        </w:rPr>
        <w:t>NOW IT IS AGREED as follows.</w:t>
      </w:r>
    </w:p>
    <w:p>
      <w:pPr>
        <w:spacing w:before="200" w:after="40" w:line="276" w:lineRule="auto"/>
      </w:pPr>
      <w:r>
        <w:rPr>
          <w:rFonts w:ascii="Times New Roman" w:hAnsi="Times New Roman" w:cs="Times New Roman"/>
          <w:b w:val="0"/>
          <w:i w:val="0"/>
          <w:u w:val="single"/>
        </w:rPr>
        <w:t xml:space="preserve">1. Purpose. </w:t>
      </w:r>
      <w:r>
        <w:rPr>
          <w:rFonts w:ascii="Times New Roman" w:hAnsi="Times New Roman" w:cs="Times New Roman"/>
          <w:b w:val="0"/>
          <w:i w:val="0"/>
          <w:u w:val="none"/>
        </w:rPr>
        <w:t>The Recipient is receiving Confidential Information in order to evaluate a potential supply, integration or analytics arrangement between the Discloser and the Recipient (the “Purpose”). Nothing in this Agreement obliges the Discloser to disclose any information or to enter into any transaction, and nothing obliges the Recipient to proceed with any arrangement.</w:t>
      </w:r>
    </w:p>
    <w:p>
      <w:pPr>
        <w:spacing w:before="200" w:after="40" w:line="276" w:lineRule="auto"/>
      </w:pPr>
      <w:r>
        <w:rPr>
          <w:rFonts w:ascii="Times New Roman" w:hAnsi="Times New Roman" w:cs="Times New Roman"/>
          <w:b w:val="0"/>
          <w:i w:val="0"/>
          <w:u w:val="single"/>
        </w:rPr>
        <w:t xml:space="preserve">2. Definition of Confidential Information. </w:t>
      </w:r>
      <w:r>
        <w:rPr>
          <w:rFonts w:ascii="Times New Roman" w:hAnsi="Times New Roman" w:cs="Times New Roman"/>
          <w:b w:val="0"/>
          <w:i w:val="0"/>
          <w:u w:val="none"/>
        </w:rPr>
        <w:t>“Confidential Information” means all information disclosed by the Discloser to the Recipient, in any form and by any means, whether or not it is marked or identified as confidential, together with all information that the Recipient knows, or ought reasonably to know, to be confidential in relation to the Discloser's business, technology, customers, suppliers, pricing and financial position. Confidential Information includes the existence and content of this Agreement and the fact that discussions are taking place.</w:t>
      </w:r>
    </w:p>
    <w:p>
      <w:pPr>
        <w:spacing w:before="200" w:after="40" w:line="276" w:lineRule="auto"/>
      </w:pPr>
      <w:r>
        <w:rPr>
          <w:rFonts w:ascii="Times New Roman" w:hAnsi="Times New Roman" w:cs="Times New Roman"/>
          <w:b w:val="0"/>
          <w:i w:val="0"/>
          <w:u w:val="single"/>
        </w:rPr>
        <w:t xml:space="preserve">3. Obligations of the Recipient. </w:t>
      </w:r>
      <w:r>
        <w:rPr>
          <w:rFonts w:ascii="Times New Roman" w:hAnsi="Times New Roman" w:cs="Times New Roman"/>
          <w:b w:val="0"/>
          <w:i w:val="0"/>
          <w:u w:val="none"/>
        </w:rPr>
        <w:t>The Recipient shall keep the Confidential Information secret, shall use it solely for the Purpose, and shall not disclose it to any person except as expressly permitted by this Agreement. The Recipient shall protect the Confidential Information with at least the degree of care it applies to its own confidential information of a similar nature and in no event with less than reasonable care.</w:t>
      </w:r>
    </w:p>
    <w:p>
      <w:pPr>
        <w:spacing w:before="0" w:after="120" w:line="276" w:lineRule="auto"/>
      </w:pPr>
      <w:r>
        <w:rPr>
          <w:rFonts w:ascii="Times New Roman" w:hAnsi="Times New Roman" w:cs="Times New Roman"/>
          <w:b w:val="0"/>
          <w:i w:val="0"/>
          <w:u w:val="none"/>
        </w:rPr>
        <w:t>The Recipient shall notify the Discloser in writing within seventy-two (72) hours of becoming aware of any unauthorised access to or disclosure of the Confidential Information, shall take reasonable steps to contain and remediate it, and shall provide such assistance as the Discloser reasonably requires in connection with it.</w:t>
      </w:r>
    </w:p>
    <w:p>
      <w:pPr>
        <w:spacing w:before="0" w:after="120" w:line="276" w:lineRule="auto"/>
      </w:pPr>
      <w:r>
        <w:rPr>
          <w:rFonts w:ascii="Times New Roman" w:hAnsi="Times New Roman" w:cs="Times New Roman"/>
          <w:b w:val="0"/>
          <w:i w:val="0"/>
          <w:u w:val="none"/>
        </w:rPr>
        <w:t>The Recipient shall not use the Confidential Information to develop, improve or benchmark any product, service or process of its own or of any third party, and shall not use it in any tender response, request for proposal, investment paper or regulatory filing relating to any person other than the Discloser.</w:t>
      </w:r>
    </w:p>
    <w:p>
      <w:pPr>
        <w:spacing w:before="0" w:after="120" w:line="276" w:lineRule="auto"/>
      </w:pPr>
      <w:r>
        <w:rPr>
          <w:rFonts w:ascii="Times New Roman" w:hAnsi="Times New Roman" w:cs="Times New Roman"/>
          <w:b w:val="0"/>
          <w:i w:val="0"/>
          <w:u w:val="none"/>
        </w:rPr>
        <w:t>The Recipient shall keep a record of the individuals who have had access to the Confidential Information, of the systems on which it has been stored, and of every disclosure made by it, and shall provide that record to the Discloser on reasonable written request during the term of this Agreement and for two years afterwards.</w:t>
      </w:r>
    </w:p>
    <w:p>
      <w:pPr>
        <w:spacing w:before="200" w:after="40" w:line="276" w:lineRule="auto"/>
      </w:pPr>
      <w:r>
        <w:rPr>
          <w:rFonts w:ascii="Times New Roman" w:hAnsi="Times New Roman" w:cs="Times New Roman"/>
          <w:b w:val="0"/>
          <w:i w:val="0"/>
          <w:u w:val="single"/>
        </w:rPr>
        <w:t xml:space="preserve">4. Permitted Disclosures. </w:t>
      </w:r>
      <w:r>
        <w:rPr>
          <w:rFonts w:ascii="Times New Roman" w:hAnsi="Times New Roman" w:cs="Times New Roman"/>
          <w:b w:val="0"/>
          <w:i w:val="0"/>
          <w:u w:val="none"/>
        </w:rPr>
        <w:t>The Recipient may disclose the Confidential Information to its directors, officers, employees, legal advisers, auditors and insurers, in each case who need to know it for the Purpose and who are bound by confidentiality obligations no less protective than those in this Agreement, and to any person to whom it considers it appropriate to disclose the Confidential Information in its sole discretion, without prior notice to the Discloser.</w:t>
      </w:r>
    </w:p>
    <w:p>
      <w:pPr>
        <w:spacing w:before="0" w:after="120" w:line="276" w:lineRule="auto"/>
      </w:pPr>
      <w:r>
        <w:rPr>
          <w:rFonts w:ascii="Times New Roman" w:hAnsi="Times New Roman" w:cs="Times New Roman"/>
          <w:b w:val="0"/>
          <w:i w:val="0"/>
          <w:u w:val="none"/>
        </w:rPr>
        <w:t>The Recipient may disclose the Confidential Information to the extent required by law, by any court of competent jurisdiction or by any governmental or regulatory authority. Where the requirement is lawful to disclose, the Recipient shall give the Discloser prompt written notice, disclose only the minimum required, and use reasonable endeavours to obtain confidential treatment for the information so disclosed. Nothing in this clause obliges the Recipient to disclose information to the Discloser before disclosing it.</w:t>
      </w:r>
    </w:p>
    <w:p>
      <w:pPr>
        <w:spacing w:before="200" w:after="40" w:line="276" w:lineRule="auto"/>
      </w:pPr>
      <w:r>
        <w:rPr>
          <w:rFonts w:ascii="Times New Roman" w:hAnsi="Times New Roman" w:cs="Times New Roman"/>
          <w:b w:val="0"/>
          <w:i w:val="0"/>
          <w:u w:val="single"/>
        </w:rPr>
        <w:t xml:space="preserve">5. Residual Knowledge. </w:t>
      </w:r>
      <w:r>
        <w:rPr>
          <w:rFonts w:ascii="Times New Roman" w:hAnsi="Times New Roman" w:cs="Times New Roman"/>
          <w:b w:val="0"/>
          <w:i w:val="0"/>
          <w:u w:val="none"/>
        </w:rPr>
        <w:t>The Recipient and its personnel may use information retained in the unaided memory of personnel who have had authorised access to the Confidential Information, and the Discloser shall not assert that such use is a breach of this Agreement. This clause survives termination of this Agreement indefinitely and applies notwithstanding any other provision of this Agreement to the contrary.</w:t>
      </w:r>
    </w:p>
    <w:p>
      <w:pPr>
        <w:spacing w:before="200" w:after="40" w:line="276" w:lineRule="auto"/>
      </w:pPr>
      <w:r>
        <w:rPr>
          <w:rFonts w:ascii="Times New Roman" w:hAnsi="Times New Roman" w:cs="Times New Roman"/>
          <w:b w:val="0"/>
          <w:i w:val="0"/>
          <w:u w:val="single"/>
        </w:rPr>
        <w:t xml:space="preserve">6. Return or Destruction. </w:t>
      </w:r>
      <w:r>
        <w:rPr>
          <w:rFonts w:ascii="Times New Roman" w:hAnsi="Times New Roman" w:cs="Times New Roman"/>
          <w:b w:val="0"/>
          <w:i w:val="0"/>
          <w:u w:val="none"/>
        </w:rPr>
        <w:t>On the Discloser's written request, or on termination of this Agreement, the Recipient shall return or destroy all Confidential Information, including all copies held in its systems, archives and backups, within fifteen (15) days of the request and shall certify in writing that it has done so. The Recipient shall be deemed to have complied with this clause where it has deleted the Confidential Information from its live systems and its primary email archive. Any certificate given under this clause shall be signed by an officer of the Recipient and shall identify the systems covered.</w:t>
      </w:r>
    </w:p>
    <w:p>
      <w:pPr>
        <w:spacing w:before="0" w:after="120" w:line="276" w:lineRule="auto"/>
      </w:pPr>
      <w:r>
        <w:rPr>
          <w:rFonts w:ascii="Times New Roman" w:hAnsi="Times New Roman" w:cs="Times New Roman"/>
          <w:b w:val="0"/>
          <w:i w:val="0"/>
          <w:u w:val="none"/>
        </w:rPr>
        <w:t>Where the Discloser does not make a request under this clause, the Recipient shall return or destroy the Confidential Information within thirty (30) days after the end of the Purpose, failing which this clause continues to apply to the information until it is returned or destroyed.</w:t>
      </w:r>
    </w:p>
    <w:p>
      <w:pPr>
        <w:spacing w:before="200" w:after="40" w:line="276" w:lineRule="auto"/>
      </w:pPr>
      <w:r>
        <w:rPr>
          <w:rFonts w:ascii="Times New Roman" w:hAnsi="Times New Roman" w:cs="Times New Roman"/>
          <w:b w:val="0"/>
          <w:i w:val="0"/>
          <w:u w:val="single"/>
        </w:rPr>
        <w:t xml:space="preserve">7. Compliance Warranties. </w:t>
      </w:r>
      <w:r>
        <w:rPr>
          <w:rFonts w:ascii="Times New Roman" w:hAnsi="Times New Roman" w:cs="Times New Roman"/>
          <w:b w:val="0"/>
          <w:i w:val="0"/>
          <w:u w:val="none"/>
        </w:rPr>
        <w:t>The Discloser warrants that it and each of its directors, officers and personnel comply with applicable anti-bribery and sanctions laws, and shall notify the Recipient immediately of any breach. The Discloser shall provide a compliance statement covering its operations on request.</w:t>
      </w:r>
    </w:p>
    <w:p>
      <w:pPr>
        <w:spacing w:before="200" w:after="40" w:line="276" w:lineRule="auto"/>
      </w:pPr>
      <w:r>
        <w:rPr>
          <w:rFonts w:ascii="Times New Roman" w:hAnsi="Times New Roman" w:cs="Times New Roman"/>
          <w:b w:val="0"/>
          <w:i w:val="0"/>
          <w:u w:val="single"/>
        </w:rPr>
        <w:t xml:space="preserve">8. Evaluation Outcome and Reference Rights. </w:t>
      </w:r>
      <w:r>
        <w:rPr>
          <w:rFonts w:ascii="Times New Roman" w:hAnsi="Times New Roman" w:cs="Times New Roman"/>
          <w:b w:val="0"/>
          <w:i w:val="0"/>
          <w:u w:val="none"/>
        </w:rPr>
        <w:t>Within thirty (30) days after the Purpose ends, the Recipient shall provide the Discloser with a written statement of the outcome of its evaluation, including the reasons for any decision not to proceed. The Recipient shall include the Discloser's name and logo in the Discloser's reference list and in the Recipient's annual report, and shall make one member of its senior management available to act as a reference for the Discloser on request.</w:t>
      </w:r>
    </w:p>
    <w:p>
      <w:pPr>
        <w:spacing w:before="200" w:after="40" w:line="276" w:lineRule="auto"/>
      </w:pPr>
      <w:r>
        <w:rPr>
          <w:rFonts w:ascii="Times New Roman" w:hAnsi="Times New Roman" w:cs="Times New Roman"/>
          <w:b w:val="0"/>
          <w:i w:val="0"/>
          <w:u w:val="single"/>
        </w:rPr>
        <w:t xml:space="preserve">9. Term and Survival. </w:t>
      </w:r>
      <w:r>
        <w:rPr>
          <w:rFonts w:ascii="Times New Roman" w:hAnsi="Times New Roman" w:cs="Times New Roman"/>
          <w:b w:val="0"/>
          <w:i w:val="0"/>
          <w:u w:val="none"/>
        </w:rPr>
        <w:t>This Agreement takes effect on the date first written above and continues for twenty-four (24) months. The Discloser may terminate this Agreement at any time on ninety (90) days' written notice, and on termination the Recipient's obligations under clause 3 shall cease. The obligations of the Recipient under clause 3 continue for ten (10) years from the date of each disclosure and, in respect of trade secrets, indefinitely.</w:t>
      </w:r>
    </w:p>
    <w:p>
      <w:pPr>
        <w:spacing w:before="200" w:after="40" w:line="276" w:lineRule="auto"/>
      </w:pPr>
      <w:r>
        <w:rPr>
          <w:rFonts w:ascii="Times New Roman" w:hAnsi="Times New Roman" w:cs="Times New Roman"/>
          <w:b w:val="0"/>
          <w:i w:val="0"/>
          <w:u w:val="single"/>
        </w:rPr>
        <w:t xml:space="preserve">10. Governing Law and Dispute Resolution. </w:t>
      </w:r>
      <w:r>
        <w:rPr>
          <w:rFonts w:ascii="Times New Roman" w:hAnsi="Times New Roman" w:cs="Times New Roman"/>
          <w:b w:val="0"/>
          <w:i w:val="0"/>
          <w:u w:val="none"/>
        </w:rPr>
        <w:t>This Agreement is governed by the laws of India. Any dispute arising out of or in connection with this Agreement shall be referred to and finally resolved by arbitration under the Arbitration and Conciliation Act 1996, by a sole arbitrator appointed by mutual agreement, failing which by an arbitrator appointed by Kaveri Precision Industries Private Limited. The seat of arbitration shall be Chennai and the language shall be English. Nothing in this clause prevents either Party from seeking interim or injunctive relief from a court of competent jurisdiction.</w:t>
      </w:r>
    </w:p>
    <w:p>
      <w:pPr>
        <w:spacing w:before="200" w:after="40" w:line="276" w:lineRule="auto"/>
      </w:pPr>
      <w:r>
        <w:rPr>
          <w:rFonts w:ascii="Times New Roman" w:hAnsi="Times New Roman" w:cs="Times New Roman"/>
          <w:b w:val="0"/>
          <w:i w:val="0"/>
          <w:u w:val="single"/>
        </w:rPr>
        <w:t xml:space="preserve">11. General. </w:t>
      </w:r>
      <w:r>
        <w:rPr>
          <w:rFonts w:ascii="Times New Roman" w:hAnsi="Times New Roman" w:cs="Times New Roman"/>
          <w:b w:val="0"/>
          <w:i w:val="0"/>
          <w:u w:val="none"/>
        </w:rPr>
        <w:t>This Agreement is the entire agreement between the Parties in relation to its subject matter and supersedes all previous discussions on that subject matter. Neither Party may assign this Agreement without the other Party's prior written consent. Notices must be in writing and are delivered by hand or by internationally recognised courier to the address set out above and are deemed received on delivery.</w:t>
      </w:r>
    </w:p>
    <w:p>
      <w:pPr>
        <w:spacing w:before="0" w:after="120" w:line="276" w:lineRule="auto"/>
      </w:pPr>
      <w:r>
        <w:rPr>
          <w:rFonts w:ascii="Times New Roman" w:hAnsi="Times New Roman" w:cs="Times New Roman"/>
          <w:b w:val="0"/>
          <w:i w:val="0"/>
          <w:u w:val="none"/>
        </w:rPr>
        <w:t>If any provision of this Agreement is held unenforceable, it shall be modified to the minimum extent necessary to make it enforceable and the remainder shall continue in effect. This Agreement may be executed in counterparts, including by electronic signature. Neither Party may be required to give an indemnity under this Agreement, and no claim may be brought against either Party in respect of a decision not to proceed with the Purpose.</w:t>
      </w:r>
    </w:p>
    <w:p>
      <w:pPr>
        <w:spacing w:before="200" w:after="40" w:line="276" w:lineRule="auto"/>
      </w:pPr>
      <w:r>
        <w:rPr>
          <w:rFonts w:ascii="Times New Roman" w:hAnsi="Times New Roman" w:cs="Times New Roman"/>
          <w:b w:val="0"/>
          <w:i w:val="0"/>
          <w:u w:val="single"/>
        </w:rPr>
        <w:t xml:space="preserve">12. No Licence and No Warranty. </w:t>
      </w:r>
      <w:r>
        <w:rPr>
          <w:rFonts w:ascii="Times New Roman" w:hAnsi="Times New Roman" w:cs="Times New Roman"/>
          <w:b w:val="0"/>
          <w:i w:val="0"/>
          <w:u w:val="none"/>
        </w:rPr>
        <w:t>All Confidential Information remains the property of the Discloser. No licence or other right under any patent, copyright, database right, trade mark right or other intellectual property right is granted by this Agreement, whether expressly, by implication, estoppel or otherwise, except the limited right to use the Confidential Information for the Purpose on the terms of this Agreement.</w:t>
      </w:r>
    </w:p>
    <w:p>
      <w:pPr>
        <w:spacing w:before="0" w:after="120" w:line="276" w:lineRule="auto"/>
      </w:pPr>
      <w:r>
        <w:rPr>
          <w:rFonts w:ascii="Times New Roman" w:hAnsi="Times New Roman" w:cs="Times New Roman"/>
          <w:b w:val="0"/>
          <w:i w:val="0"/>
          <w:u w:val="none"/>
        </w:rPr>
        <w:t>The Discloser makes no representation or warranty as to the accuracy, completeness or fitness of the Confidential Information for any purpose, and the Recipient shall form its own view and take its own advice. The Discloser shall not be liable to the Recipient for any loss arising from the Recipient's reliance on the Confidential Information, save in the case of fraud.</w:t>
      </w:r>
    </w:p>
    <w:p>
      <w:pPr>
        <w:spacing w:before="200" w:after="40" w:line="276" w:lineRule="auto"/>
      </w:pPr>
      <w:r>
        <w:rPr>
          <w:rFonts w:ascii="Times New Roman" w:hAnsi="Times New Roman" w:cs="Times New Roman"/>
          <w:b w:val="0"/>
          <w:i w:val="0"/>
          <w:u w:val="single"/>
        </w:rPr>
        <w:t xml:space="preserve">13. Clean Room Protocol. </w:t>
      </w:r>
      <w:r>
        <w:rPr>
          <w:rFonts w:ascii="Times New Roman" w:hAnsi="Times New Roman" w:cs="Times New Roman"/>
          <w:b w:val="0"/>
          <w:i w:val="0"/>
          <w:u w:val="none"/>
        </w:rPr>
        <w:t>Where Confidential Information has necessarily come into contact with Recipient personnel who are at the same time engaged in work for a competitor of the Discloser, the Parties shall agree a clean room protocol before any further disclosure is made. The protocol shall identify the personnel restricted from access, the location and controls applied to the material already disclosed, and the arrangements for ensuring that the material is not carried into that work.</w:t>
      </w:r>
    </w:p>
    <w:p>
      <w:pPr>
        <w:spacing w:before="0" w:after="120" w:line="276" w:lineRule="auto"/>
      </w:pPr>
      <w:r>
        <w:rPr>
          <w:rFonts w:ascii="Times New Roman" w:hAnsi="Times New Roman" w:cs="Times New Roman"/>
          <w:b w:val="0"/>
          <w:i w:val="0"/>
          <w:u w:val="none"/>
        </w:rPr>
        <w:t>The Discloser is entitled to reasonable written assurances that the protocol is being observed, and the Parties shall review the protocol at the request of either of them if the relevant engagement changes. This clause 13 does not limit any obligation in clause 3.</w:t>
      </w:r>
    </w:p>
    <w:p>
      <w:pPr>
        <w:spacing w:before="200" w:after="40" w:line="276" w:lineRule="auto"/>
      </w:pPr>
      <w:r>
        <w:rPr>
          <w:rFonts w:ascii="Times New Roman" w:hAnsi="Times New Roman" w:cs="Times New Roman"/>
          <w:b w:val="0"/>
          <w:i w:val="0"/>
          <w:u w:val="single"/>
        </w:rPr>
        <w:t xml:space="preserve">Schedule 1 Information Expected to be Disclosed </w:t>
      </w:r>
      <w:r>
        <w:rPr>
          <w:rFonts w:ascii="Times New Roman" w:hAnsi="Times New Roman" w:cs="Times New Roman"/>
          <w:b w:val="0"/>
          <w:i w:val="0"/>
          <w:u w:val="none"/>
        </w:rPr>
        <w:t>The Discloser expects to disclose Confidential Information in the categories below. Listing a category does not make information Confidential Information unless it satisfies the definition in clause 2, and does not reduce any obligation under this Agreement.</w:t>
      </w:r>
    </w:p>
    <w:tbl>
      <w:tblPr>
        <w:tblStyle w:val="TableGrid"/>
        <w:tblW w:type="auto" w:w="0"/>
        <w:tblLook w:firstColumn="1" w:firstRow="1" w:lastColumn="0" w:lastRow="0" w:noHBand="0" w:noVBand="1" w:val="04A0"/>
      </w:tblPr>
      <w:tblGrid>
        <w:gridCol w:w="3024"/>
        <w:gridCol w:w="3024"/>
        <w:gridCol w:w="3024"/>
      </w:tblGrid>
      <w:tr>
        <w:tc>
          <w:tcPr>
            <w:tcW w:type="dxa" w:w="3744"/>
          </w:tcPr>
          <w:p>
            <w:pPr>
              <w:spacing w:after="40"/>
            </w:pPr>
            <w:r/>
            <w:r>
              <w:rPr>
                <w:rFonts w:ascii="Times New Roman" w:hAnsi="Times New Roman" w:cs="Times New Roman"/>
                <w:b/>
                <w:i w:val="0"/>
                <w:sz w:val="19"/>
                <w:u w:val="none"/>
              </w:rPr>
              <w:t>Category</w:t>
            </w:r>
          </w:p>
        </w:tc>
        <w:tc>
          <w:tcPr>
            <w:tcW w:type="dxa" w:w="2880"/>
          </w:tcPr>
          <w:p>
            <w:pPr>
              <w:spacing w:after="40"/>
            </w:pPr>
            <w:r/>
            <w:r>
              <w:rPr>
                <w:rFonts w:ascii="Times New Roman" w:hAnsi="Times New Roman" w:cs="Times New Roman"/>
                <w:b/>
                <w:i w:val="0"/>
                <w:sz w:val="19"/>
                <w:u w:val="none"/>
              </w:rPr>
              <w:t>Form</w:t>
            </w:r>
          </w:p>
        </w:tc>
        <w:tc>
          <w:tcPr>
            <w:tcW w:type="dxa" w:w="2736"/>
          </w:tcPr>
          <w:p>
            <w:pPr>
              <w:spacing w:after="40"/>
            </w:pPr>
            <w:r/>
            <w:r>
              <w:rPr>
                <w:rFonts w:ascii="Times New Roman" w:hAnsi="Times New Roman" w:cs="Times New Roman"/>
                <w:b/>
                <w:i w:val="0"/>
                <w:sz w:val="19"/>
                <w:u w:val="none"/>
              </w:rPr>
              <w:t>Discloser contact</w:t>
            </w:r>
          </w:p>
        </w:tc>
      </w:tr>
      <w:tr>
        <w:tc>
          <w:tcPr>
            <w:tcW w:type="dxa" w:w="3744"/>
          </w:tcPr>
          <w:p>
            <w:pPr>
              <w:spacing w:after="40"/>
            </w:pPr>
            <w:r/>
            <w:r>
              <w:rPr>
                <w:rFonts w:ascii="Times New Roman" w:hAnsi="Times New Roman" w:cs="Times New Roman"/>
                <w:b w:val="0"/>
                <w:i w:val="0"/>
                <w:sz w:val="19"/>
                <w:u w:val="none"/>
              </w:rPr>
              <w:t>Telemetry algorithms, model weights and inference logic</w:t>
            </w:r>
          </w:p>
        </w:tc>
        <w:tc>
          <w:tcPr>
            <w:tcW w:type="dxa" w:w="2880"/>
          </w:tcPr>
          <w:p>
            <w:pPr>
              <w:spacing w:after="40"/>
            </w:pPr>
            <w:r/>
            <w:r>
              <w:rPr>
                <w:rFonts w:ascii="Times New Roman" w:hAnsi="Times New Roman" w:cs="Times New Roman"/>
                <w:b w:val="0"/>
                <w:i w:val="0"/>
                <w:sz w:val="19"/>
                <w:u w:val="none"/>
              </w:rPr>
              <w:t>Technical documentation and repositories</w:t>
            </w:r>
          </w:p>
        </w:tc>
        <w:tc>
          <w:tcPr>
            <w:tcW w:type="dxa" w:w="2736"/>
          </w:tcPr>
          <w:p>
            <w:pPr>
              <w:spacing w:after="40"/>
            </w:pPr>
            <w:r/>
            <w:r>
              <w:rPr>
                <w:rFonts w:ascii="Times New Roman" w:hAnsi="Times New Roman" w:cs="Times New Roman"/>
                <w:b w:val="0"/>
                <w:i w:val="0"/>
                <w:sz w:val="19"/>
                <w:u w:val="none"/>
              </w:rPr>
              <w:t>Head of Engineering</w:t>
            </w:r>
          </w:p>
        </w:tc>
      </w:tr>
      <w:tr>
        <w:tc>
          <w:tcPr>
            <w:tcW w:type="dxa" w:w="3744"/>
          </w:tcPr>
          <w:p>
            <w:pPr>
              <w:spacing w:after="40"/>
            </w:pPr>
            <w:r/>
            <w:r>
              <w:rPr>
                <w:rFonts w:ascii="Times New Roman" w:hAnsi="Times New Roman" w:cs="Times New Roman"/>
                <w:b w:val="0"/>
                <w:i w:val="0"/>
                <w:sz w:val="19"/>
                <w:u w:val="none"/>
              </w:rPr>
              <w:t>Machine vision inspection models and training methodology</w:t>
            </w:r>
          </w:p>
        </w:tc>
        <w:tc>
          <w:tcPr>
            <w:tcW w:type="dxa" w:w="2880"/>
          </w:tcPr>
          <w:p>
            <w:pPr>
              <w:spacing w:after="40"/>
            </w:pPr>
            <w:r/>
            <w:r>
              <w:rPr>
                <w:rFonts w:ascii="Times New Roman" w:hAnsi="Times New Roman" w:cs="Times New Roman"/>
                <w:b w:val="0"/>
                <w:i w:val="0"/>
                <w:sz w:val="19"/>
                <w:u w:val="none"/>
              </w:rPr>
              <w:t>Technical documentation</w:t>
            </w:r>
          </w:p>
        </w:tc>
        <w:tc>
          <w:tcPr>
            <w:tcW w:type="dxa" w:w="2736"/>
          </w:tcPr>
          <w:p>
            <w:pPr>
              <w:spacing w:after="40"/>
            </w:pPr>
            <w:r/>
            <w:r>
              <w:rPr>
                <w:rFonts w:ascii="Times New Roman" w:hAnsi="Times New Roman" w:cs="Times New Roman"/>
                <w:b w:val="0"/>
                <w:i w:val="0"/>
                <w:sz w:val="19"/>
                <w:u w:val="none"/>
              </w:rPr>
              <w:t>Head of Engineering</w:t>
            </w:r>
          </w:p>
        </w:tc>
      </w:tr>
      <w:tr>
        <w:tc>
          <w:tcPr>
            <w:tcW w:type="dxa" w:w="3744"/>
          </w:tcPr>
          <w:p>
            <w:pPr>
              <w:spacing w:after="40"/>
            </w:pPr>
            <w:r/>
            <w:r>
              <w:rPr>
                <w:rFonts w:ascii="Times New Roman" w:hAnsi="Times New Roman" w:cs="Times New Roman"/>
                <w:b w:val="0"/>
                <w:i w:val="0"/>
                <w:sz w:val="19"/>
                <w:u w:val="none"/>
              </w:rPr>
              <w:t>Customer references and deployment case data</w:t>
            </w:r>
          </w:p>
        </w:tc>
        <w:tc>
          <w:tcPr>
            <w:tcW w:type="dxa" w:w="2880"/>
          </w:tcPr>
          <w:p>
            <w:pPr>
              <w:spacing w:after="40"/>
            </w:pPr>
            <w:r/>
            <w:r>
              <w:rPr>
                <w:rFonts w:ascii="Times New Roman" w:hAnsi="Times New Roman" w:cs="Times New Roman"/>
                <w:b w:val="0"/>
                <w:i w:val="0"/>
                <w:sz w:val="19"/>
                <w:u w:val="none"/>
              </w:rPr>
              <w:t>Extracts and summaries</w:t>
            </w:r>
          </w:p>
        </w:tc>
        <w:tc>
          <w:tcPr>
            <w:tcW w:type="dxa" w:w="2736"/>
          </w:tcPr>
          <w:p>
            <w:pPr>
              <w:spacing w:after="40"/>
            </w:pPr>
            <w:r/>
            <w:r>
              <w:rPr>
                <w:rFonts w:ascii="Times New Roman" w:hAnsi="Times New Roman" w:cs="Times New Roman"/>
                <w:b w:val="0"/>
                <w:i w:val="0"/>
                <w:sz w:val="19"/>
                <w:u w:val="none"/>
              </w:rPr>
              <w:t>Commercial Director</w:t>
            </w:r>
          </w:p>
        </w:tc>
      </w:tr>
      <w:tr>
        <w:tc>
          <w:tcPr>
            <w:tcW w:type="dxa" w:w="3744"/>
          </w:tcPr>
          <w:p>
            <w:pPr>
              <w:spacing w:after="40"/>
            </w:pPr>
            <w:r/>
            <w:r>
              <w:rPr>
                <w:rFonts w:ascii="Times New Roman" w:hAnsi="Times New Roman" w:cs="Times New Roman"/>
                <w:b w:val="0"/>
                <w:i w:val="0"/>
                <w:sz w:val="19"/>
                <w:u w:val="none"/>
              </w:rPr>
              <w:t>Pricing, commercial terms and margin structure</w:t>
            </w:r>
          </w:p>
        </w:tc>
        <w:tc>
          <w:tcPr>
            <w:tcW w:type="dxa" w:w="2880"/>
          </w:tcPr>
          <w:p>
            <w:pPr>
              <w:spacing w:after="40"/>
            </w:pPr>
            <w:r/>
            <w:r>
              <w:rPr>
                <w:rFonts w:ascii="Times New Roman" w:hAnsi="Times New Roman" w:cs="Times New Roman"/>
                <w:b w:val="0"/>
                <w:i w:val="0"/>
                <w:sz w:val="19"/>
                <w:u w:val="none"/>
              </w:rPr>
              <w:t>Spreadsheets</w:t>
            </w:r>
          </w:p>
        </w:tc>
        <w:tc>
          <w:tcPr>
            <w:tcW w:type="dxa" w:w="2736"/>
          </w:tcPr>
          <w:p>
            <w:pPr>
              <w:spacing w:after="40"/>
            </w:pPr>
            <w:r/>
            <w:r>
              <w:rPr>
                <w:rFonts w:ascii="Times New Roman" w:hAnsi="Times New Roman" w:cs="Times New Roman"/>
                <w:b w:val="0"/>
                <w:i w:val="0"/>
                <w:sz w:val="19"/>
                <w:u w:val="none"/>
              </w:rPr>
              <w:t>Commercial Director</w:t>
            </w:r>
          </w:p>
        </w:tc>
      </w:tr>
      <w:tr>
        <w:tc>
          <w:tcPr>
            <w:tcW w:type="dxa" w:w="3744"/>
          </w:tcPr>
          <w:p>
            <w:pPr>
              <w:spacing w:after="40"/>
            </w:pPr>
            <w:r/>
            <w:r>
              <w:rPr>
                <w:rFonts w:ascii="Times New Roman" w:hAnsi="Times New Roman" w:cs="Times New Roman"/>
                <w:b w:val="0"/>
                <w:i w:val="0"/>
                <w:sz w:val="19"/>
                <w:u w:val="none"/>
              </w:rPr>
              <w:t>Software bill of materials and third-party licences</w:t>
            </w:r>
          </w:p>
        </w:tc>
        <w:tc>
          <w:tcPr>
            <w:tcW w:type="dxa" w:w="2880"/>
          </w:tcPr>
          <w:p>
            <w:pPr>
              <w:spacing w:after="40"/>
            </w:pPr>
            <w:r/>
            <w:r>
              <w:rPr>
                <w:rFonts w:ascii="Times New Roman" w:hAnsi="Times New Roman" w:cs="Times New Roman"/>
                <w:b w:val="0"/>
                <w:i w:val="0"/>
                <w:sz w:val="19"/>
                <w:u w:val="none"/>
              </w:rPr>
              <w:t>Documents</w:t>
            </w:r>
          </w:p>
        </w:tc>
        <w:tc>
          <w:tcPr>
            <w:tcW w:type="dxa" w:w="2736"/>
          </w:tcPr>
          <w:p>
            <w:pPr>
              <w:spacing w:after="40"/>
            </w:pPr>
            <w:r/>
            <w:r>
              <w:rPr>
                <w:rFonts w:ascii="Times New Roman" w:hAnsi="Times New Roman" w:cs="Times New Roman"/>
                <w:b w:val="0"/>
                <w:i w:val="0"/>
                <w:sz w:val="19"/>
                <w:u w:val="none"/>
              </w:rPr>
              <w:t>Head of Engineering</w:t>
            </w:r>
          </w:p>
        </w:tc>
      </w:tr>
      <w:tr>
        <w:tc>
          <w:tcPr>
            <w:tcW w:type="dxa" w:w="3744"/>
          </w:tcPr>
          <w:p>
            <w:pPr>
              <w:spacing w:after="40"/>
            </w:pPr>
            <w:r/>
            <w:r>
              <w:rPr>
                <w:rFonts w:ascii="Times New Roman" w:hAnsi="Times New Roman" w:cs="Times New Roman"/>
                <w:b w:val="0"/>
                <w:i w:val="0"/>
                <w:sz w:val="19"/>
                <w:u w:val="none"/>
              </w:rPr>
              <w:t>Personal data of identified individuals at Kaveri sites, where supplied for integration testing</w:t>
            </w:r>
          </w:p>
        </w:tc>
        <w:tc>
          <w:tcPr>
            <w:tcW w:type="dxa" w:w="2880"/>
          </w:tcPr>
          <w:p>
            <w:pPr>
              <w:spacing w:after="40"/>
            </w:pPr>
            <w:r/>
            <w:r>
              <w:rPr>
                <w:rFonts w:ascii="Times New Roman" w:hAnsi="Times New Roman" w:cs="Times New Roman"/>
                <w:b w:val="0"/>
                <w:i w:val="0"/>
                <w:sz w:val="19"/>
                <w:u w:val="none"/>
              </w:rPr>
              <w:t>Extracts</w:t>
            </w:r>
          </w:p>
        </w:tc>
        <w:tc>
          <w:tcPr>
            <w:tcW w:type="dxa" w:w="2736"/>
          </w:tcPr>
          <w:p>
            <w:pPr>
              <w:spacing w:after="40"/>
            </w:pPr>
            <w:r/>
            <w:r>
              <w:rPr>
                <w:rFonts w:ascii="Times New Roman" w:hAnsi="Times New Roman" w:cs="Times New Roman"/>
                <w:b w:val="0"/>
                <w:i w:val="0"/>
                <w:sz w:val="19"/>
                <w:u w:val="none"/>
              </w:rPr>
              <w:t>Data Protection Officer</w:t>
            </w:r>
          </w:p>
        </w:tc>
      </w:tr>
    </w:tbl>
    <w:p>
      <w:pPr/>
    </w:p>
    <w:p>
      <w:pPr>
        <w:spacing w:before="0" w:after="120" w:line="276" w:lineRule="auto"/>
      </w:pPr>
      <w:r>
        <w:rPr>
          <w:rFonts w:ascii="Times New Roman" w:hAnsi="Times New Roman" w:cs="Times New Roman"/>
          <w:b w:val="0"/>
          <w:i w:val="0"/>
          <w:u w:val="none"/>
        </w:rPr>
        <w:t>SIGNED for and on behalf of the Parties on the date first written above.</w:t>
      </w:r>
    </w:p>
    <w:tbl>
      <w:tblPr>
        <w:tblStyle w:val="TableGrid"/>
        <w:tblW w:type="auto" w:w="0"/>
        <w:tblLook w:firstColumn="1" w:firstRow="1" w:lastColumn="0" w:lastRow="0" w:noHBand="0" w:noVBand="1" w:val="04A0"/>
      </w:tblPr>
      <w:tblGrid>
        <w:gridCol w:w="3024"/>
        <w:gridCol w:w="3024"/>
        <w:gridCol w:w="3024"/>
      </w:tblGrid>
      <w:tr>
        <w:tc>
          <w:tcPr>
            <w:tcW w:type="dxa" w:w="1872"/>
          </w:tcPr>
          <w:p>
            <w:pPr>
              <w:spacing w:after="40"/>
            </w:pPr>
            <w:r/>
            <w:r>
              <w:rPr>
                <w:rFonts w:ascii="Times New Roman" w:hAnsi="Times New Roman" w:cs="Times New Roman"/>
                <w:b/>
                <w:i w:val="0"/>
                <w:sz w:val="19"/>
                <w:u w:val="none"/>
              </w:rPr>
            </w:r>
          </w:p>
        </w:tc>
        <w:tc>
          <w:tcPr>
            <w:tcW w:type="dxa" w:w="3744"/>
          </w:tcPr>
          <w:p>
            <w:pPr>
              <w:spacing w:after="40"/>
            </w:pPr>
            <w:r/>
            <w:r>
              <w:rPr>
                <w:rFonts w:ascii="Times New Roman" w:hAnsi="Times New Roman" w:cs="Times New Roman"/>
                <w:b/>
                <w:i w:val="0"/>
                <w:sz w:val="19"/>
                <w:u w:val="none"/>
              </w:rPr>
              <w:t>Venkateswara Industrial Analytics Pvt Ltd</w:t>
            </w:r>
          </w:p>
        </w:tc>
        <w:tc>
          <w:tcPr>
            <w:tcW w:type="dxa" w:w="3744"/>
          </w:tcPr>
          <w:p>
            <w:pPr>
              <w:spacing w:after="40"/>
            </w:pPr>
            <w:r/>
            <w:r>
              <w:rPr>
                <w:rFonts w:ascii="Times New Roman" w:hAnsi="Times New Roman" w:cs="Times New Roman"/>
                <w:b/>
                <w:i w:val="0"/>
                <w:sz w:val="19"/>
                <w:u w:val="none"/>
              </w:rPr>
              <w:t>Kaveri Precision Industries Pvt Ltd</w:t>
            </w:r>
          </w:p>
        </w:tc>
      </w:tr>
      <w:tr>
        <w:tc>
          <w:tcPr>
            <w:tcW w:type="dxa" w:w="1872"/>
          </w:tcPr>
          <w:p>
            <w:pPr>
              <w:spacing w:after="40"/>
            </w:pPr>
            <w:r/>
            <w:r>
              <w:rPr>
                <w:rFonts w:ascii="Times New Roman" w:hAnsi="Times New Roman" w:cs="Times New Roman"/>
                <w:b w:val="0"/>
                <w:i w:val="0"/>
                <w:sz w:val="19"/>
                <w:u w:val="none"/>
              </w:rPr>
              <w:t>Signature</w:t>
            </w:r>
          </w:p>
        </w:tc>
        <w:tc>
          <w:tcPr>
            <w:tcW w:type="dxa" w:w="3744"/>
          </w:tcPr>
          <w:p>
            <w:pPr>
              <w:spacing w:after="40"/>
            </w:pPr>
            <w:r/>
            <w:r>
              <w:rPr>
                <w:rFonts w:ascii="Times New Roman" w:hAnsi="Times New Roman" w:cs="Times New Roman"/>
                <w:b w:val="0"/>
                <w:i w:val="0"/>
                <w:sz w:val="19"/>
                <w:u w:val="none"/>
              </w:rPr>
            </w:r>
          </w:p>
        </w:tc>
        <w:tc>
          <w:tcPr>
            <w:tcW w:type="dxa" w:w="3744"/>
          </w:tcPr>
          <w:p>
            <w:pPr>
              <w:spacing w:after="40"/>
            </w:pPr>
            <w:r/>
            <w:r>
              <w:rPr>
                <w:rFonts w:ascii="Times New Roman" w:hAnsi="Times New Roman" w:cs="Times New Roman"/>
                <w:b w:val="0"/>
                <w:i w:val="0"/>
                <w:sz w:val="19"/>
                <w:u w:val="none"/>
              </w:rPr>
            </w:r>
          </w:p>
        </w:tc>
      </w:tr>
      <w:tr>
        <w:tc>
          <w:tcPr>
            <w:tcW w:type="dxa" w:w="1872"/>
          </w:tcPr>
          <w:p>
            <w:pPr>
              <w:spacing w:after="40"/>
            </w:pPr>
            <w:r/>
            <w:r>
              <w:rPr>
                <w:rFonts w:ascii="Times New Roman" w:hAnsi="Times New Roman" w:cs="Times New Roman"/>
                <w:b w:val="0"/>
                <w:i w:val="0"/>
                <w:sz w:val="19"/>
                <w:u w:val="none"/>
              </w:rPr>
              <w:t>Name</w:t>
            </w:r>
          </w:p>
        </w:tc>
        <w:tc>
          <w:tcPr>
            <w:tcW w:type="dxa" w:w="3744"/>
          </w:tcPr>
          <w:p>
            <w:pPr>
              <w:spacing w:after="40"/>
            </w:pPr>
            <w:r/>
            <w:r>
              <w:rPr>
                <w:rFonts w:ascii="Times New Roman" w:hAnsi="Times New Roman" w:cs="Times New Roman"/>
                <w:b w:val="0"/>
                <w:i w:val="0"/>
                <w:sz w:val="19"/>
                <w:u w:val="none"/>
              </w:rPr>
              <w:t>Sharada Iyengar</w:t>
            </w:r>
          </w:p>
        </w:tc>
        <w:tc>
          <w:tcPr>
            <w:tcW w:type="dxa" w:w="3744"/>
          </w:tcPr>
          <w:p>
            <w:pPr>
              <w:spacing w:after="40"/>
            </w:pPr>
            <w:r/>
            <w:r>
              <w:rPr>
                <w:rFonts w:ascii="Times New Roman" w:hAnsi="Times New Roman" w:cs="Times New Roman"/>
                <w:b w:val="0"/>
                <w:i w:val="0"/>
                <w:sz w:val="19"/>
                <w:u w:val="none"/>
              </w:rPr>
              <w:t>Meenakshi Varadarajan</w:t>
            </w:r>
          </w:p>
        </w:tc>
      </w:tr>
      <w:tr>
        <w:tc>
          <w:tcPr>
            <w:tcW w:type="dxa" w:w="1872"/>
          </w:tcPr>
          <w:p>
            <w:pPr>
              <w:spacing w:after="40"/>
            </w:pPr>
            <w:r/>
            <w:r>
              <w:rPr>
                <w:rFonts w:ascii="Times New Roman" w:hAnsi="Times New Roman" w:cs="Times New Roman"/>
                <w:b w:val="0"/>
                <w:i w:val="0"/>
                <w:sz w:val="19"/>
                <w:u w:val="none"/>
              </w:rPr>
              <w:t>Title</w:t>
            </w:r>
          </w:p>
        </w:tc>
        <w:tc>
          <w:tcPr>
            <w:tcW w:type="dxa" w:w="3744"/>
          </w:tcPr>
          <w:p>
            <w:pPr>
              <w:spacing w:after="40"/>
            </w:pPr>
            <w:r/>
            <w:r>
              <w:rPr>
                <w:rFonts w:ascii="Times New Roman" w:hAnsi="Times New Roman" w:cs="Times New Roman"/>
                <w:b w:val="0"/>
                <w:i w:val="0"/>
                <w:sz w:val="19"/>
                <w:u w:val="none"/>
              </w:rPr>
              <w:t>Whole-time Director</w:t>
            </w:r>
          </w:p>
        </w:tc>
        <w:tc>
          <w:tcPr>
            <w:tcW w:type="dxa" w:w="3744"/>
          </w:tcPr>
          <w:p>
            <w:pPr>
              <w:spacing w:after="40"/>
            </w:pPr>
            <w:r/>
            <w:r>
              <w:rPr>
                <w:rFonts w:ascii="Times New Roman" w:hAnsi="Times New Roman" w:cs="Times New Roman"/>
                <w:b w:val="0"/>
                <w:i w:val="0"/>
                <w:sz w:val="19"/>
                <w:u w:val="none"/>
              </w:rPr>
              <w:t>Company Secretary</w:t>
            </w:r>
          </w:p>
        </w:tc>
      </w:tr>
      <w:tr>
        <w:tc>
          <w:tcPr>
            <w:tcW w:type="dxa" w:w="1872"/>
          </w:tcPr>
          <w:p>
            <w:pPr>
              <w:spacing w:after="40"/>
            </w:pPr>
            <w:r/>
            <w:r>
              <w:rPr>
                <w:rFonts w:ascii="Times New Roman" w:hAnsi="Times New Roman" w:cs="Times New Roman"/>
                <w:b w:val="0"/>
                <w:i w:val="0"/>
                <w:sz w:val="19"/>
                <w:u w:val="none"/>
              </w:rPr>
              <w:t>Date</w:t>
            </w:r>
          </w:p>
        </w:tc>
        <w:tc>
          <w:tcPr>
            <w:tcW w:type="dxa" w:w="3744"/>
          </w:tcPr>
          <w:p>
            <w:pPr>
              <w:spacing w:after="40"/>
            </w:pPr>
            <w:r/>
            <w:r>
              <w:rPr>
                <w:rFonts w:ascii="Times New Roman" w:hAnsi="Times New Roman" w:cs="Times New Roman"/>
                <w:b w:val="0"/>
                <w:i w:val="0"/>
                <w:sz w:val="19"/>
                <w:u w:val="none"/>
              </w:rPr>
            </w:r>
          </w:p>
        </w:tc>
        <w:tc>
          <w:tcPr>
            <w:tcW w:type="dxa" w:w="3744"/>
          </w:tcPr>
          <w:p>
            <w:pPr>
              <w:spacing w:after="40"/>
            </w:pPr>
            <w:r/>
            <w:r>
              <w:rPr>
                <w:rFonts w:ascii="Times New Roman" w:hAnsi="Times New Roman" w:cs="Times New Roman"/>
                <w:b w:val="0"/>
                <w:i w:val="0"/>
                <w:sz w:val="19"/>
                <w:u w:val="none"/>
              </w:rPr>
            </w:r>
          </w:p>
        </w:tc>
      </w:tr>
    </w:tbl>
    <w:p>
      <w:pP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b w:val="0"/>
        <w:i w:val="0"/>
        <w:sz w:val="17"/>
        <w:u w:val="none"/>
      </w:rPr>
      <w:t xml:space="preserve">Venkateswara Industrial Analytics Private Limited / Kaveri Precision Industries Private Limited — NDA — page </w:t>
    </w:r>
    <w:r>
      <w:rPr>
        <w:rFonts w:ascii="Calibri" w:hAnsi="Calibri" w:cs="Calibri"/>
        <w:b w:val="0"/>
        <w:i w:val="0"/>
        <w:sz w:val="17"/>
        <w:u w:val="none"/>
      </w:rPr>
      <w:t xml:space="preserve"> </w:t>
    </w:r>
    <w:r>
      <w:rPr>
        <w:rFonts w:ascii="Calibri" w:hAnsi="Calibri"/>
        <w:sz w:val="17"/>
      </w:rPr>
      <w:fldSimple w:instr=" PAGE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s="Calibri"/>
        <w:b w:val="0"/>
        <w:i w:val="0"/>
        <w:caps/>
        <w:sz w:val="17"/>
        <w:u w:val="none"/>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multilevel"/>
    <w:tmpl w:val="0A0B0C0D"/>
    <w:lvl w:ilvl="0">
      <w:start w:val="1"/>
      <w:numFmt w:val="decimal"/>
      <w:lvlText w:val="%1."/>
      <w:lvlJc w:val="left"/>
      <w:pPr>
        <w:ind w:left="0" w:firstLine="0"/>
      </w:pPr>
      <w:rPr>
        <w:b/>
      </w:rPr>
    </w:lvl>
    <w:lvl w:ilvl="1">
      <w:start w:val="1"/>
      <w:numFmt w:val="decimal"/>
      <w:lvlText w:val="%1.%2"/>
      <w:lvlJc w:val="left"/>
      <w:pPr>
        <w:ind w:left="576" w:hanging="576"/>
      </w:pPr>
    </w:lvl>
    <w:lvl w:ilvl="2">
      <w:start w:val="1"/>
      <w:numFmt w:val="lowerLetter"/>
      <w:lvlText w:val="(%3)"/>
      <w:lvlJc w:val="left"/>
      <w:pPr>
        <w:ind w:left="1152" w:hanging="576"/>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
  <cp:keywords/>
  <dc:description/>
  <cp:lastModifiedBy/>
  <cp:revision>1</cp:revision>
  <dcterms:created xsi:type="dcterms:W3CDTF">2026-09-11T09:00:00Z</dcterms:created>
  <dcterms:modified xsi:type="dcterms:W3CDTF">2026-09-11T09:00:00Z</dcterms:modified>
  <cp:category/>
</cp:coreProperties>
</file>