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Supplier's aggregate liability shall not exceed the insurance proceeds actually recovered by Supplier in respect of the claim.</w:t>
      </w:r>
    </w:p>
    <w:p>
      <w:pPr>
        <w:pStyle w:val="Heading1"/>
      </w:pPr>
      <w:r>
        <w:t xml:space="preserve">2. Confidentiality</w:t>
      </w:r>
    </w:p>
    <w:p>
      <w:pPr>
        <w:pStyle w:val="Normal"/>
      </w:pPr>
      <w:r>
        <w:t xml:space="preserve">2.1 Each Party shall protect the other Party's confidential information with reasonable care.</w:t>
      </w:r>
    </w:p>
    <w:p>
      <w:pPr>
        <w:pStyle w:val="Normal"/>
      </w:pPr>
      <w:r>
        <w:t xml:space="preserve">2.2 The obligations in this Section 2 survive termination of this Agreement for three (3) years.</w:t>
      </w:r>
    </w:p>
    <w:p>
      <w:pPr>
        <w:pStyle w:val="Heading1"/>
      </w:pPr>
      <w:r>
        <w:t xml:space="preserve">3. Termination</w:t>
      </w:r>
    </w:p>
    <w:p>
      <w:pPr>
        <w:pStyle w:val="Normal"/>
      </w:pPr>
      <w:r>
        <w:t xml:space="preserve">3.1 Either Party may terminate this Agreement for convenience upon sixty (60) days' prior written notice to the other Party.</w:t>
      </w:r>
    </w:p>
    <w:p>
      <w:pPr>
        <w:pStyle w:val="Heading1"/>
      </w:pPr>
      <w:r>
        <w:t xml:space="preserve">4. Governing Law</w:t>
      </w:r>
    </w:p>
    <w:p>
      <w:pPr>
        <w:pStyle w:val="Normal"/>
      </w:pPr>
      <w:r>
        <w:t xml:space="preserve">4.1 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