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Negotiation Playbook (Draft)</w:t>
      </w:r>
    </w:p>
    <w:p>
      <w:pPr>
        <w:pStyle w:val="Heading1"/>
      </w:pPr>
      <w:r>
        <w:t xml:space="preserve">Confidentiality</w:t>
      </w:r>
    </w:p>
    <w:p>
      <w:r>
        <w:t xml:space="preserve">Preferred: a confidentiality term of at least three years.</w:t>
      </w:r>
    </w:p>
    <w:p>
      <w:r>
        <w:t xml:space="preserve">Fallback: two years, extended only for trade secrets.</w:t>
      </w:r>
    </w:p>
    <w:p>
      <w:r>
        <w:t xml:space="preserve">Prohibited: no confidentiality obligation at all.</w:t>
      </w:r>
    </w:p>
    <w:p>
      <w:pPr>
        <w:pStyle w:val="Heading1"/>
      </w:pPr>
      <w:r>
        <w:t xml:space="preserve">Limitation of Liability</w:t>
      </w:r>
    </w:p>
    <w:p>
      <w:r>
        <w:t xml:space="preserve">Preferred: total liability should not exceed the fees paid in the preceding 12 months.</w:t>
      </w:r>
    </w:p>
    <w:p>
      <w:r>
        <w:t xml:space="preserve">Fallback: a cap of 2 times the fees paid in the preceding 12 months is acceptable.</w:t>
      </w:r>
    </w:p>
    <w:p>
      <w:r>
        <w:t xml:space="preserve">Prohibited: uncapped liability is not acceptable in any master services agreement.</w:t>
      </w:r>
    </w:p>
    <w:p>
      <w:r>
        <w:t xml:space="preserve">Escalate to general counsel for any cap above the preferred position.</w:t>
      </w:r>
    </w:p>
    <w:p>
      <w:pPr>
        <w:pStyle w:val="Heading1"/>
      </w:pPr>
      <w:r>
        <w:t xml:space="preserve">Termination</w:t>
      </w:r>
    </w:p>
    <w:p>
      <w:r>
        <w:t xml:space="preserve">Termination for convenience should require thirty days notice.</w:t>
      </w:r>
    </w:p>
    <w:p>
      <w:r>
        <w:t xml:space="preserve">Termination for material breach should allow a thirty day cure period.</w:t>
      </w:r>
    </w:p>
    <w:p>
      <w:pPr>
        <w:pStyle w:val="Heading1"/>
      </w:pPr>
      <w:r>
        <w:t xml:space="preserve">Governing Law</w:t>
      </w:r>
    </w:p>
    <w:p>
      <w:r>
        <w:t xml:space="preserve">New York or Delaware governing law is acceptable.</w:t>
      </w:r>
    </w:p>
    <w:p>
      <w:r>
        <w:t xml:space="preserve">Exclusive jurisdiction in the governing law state is preferred.</w:t>
      </w:r>
    </w:p>
    <w:p>
      <w:pPr>
        <w:pStyle w:val="Heading1"/>
      </w:pPr>
      <w:r>
        <w:t xml:space="preserve">Liability - Draft Revision</w:t>
      </w:r>
    </w:p>
    <w:p>
      <w:r>
        <w:t xml:space="preserve">Preferred: total liability is uncapped and the supplier accepts unlimited exposure for this engagement.</w:t>
      </w:r>
    </w:p>
    <w:p>
      <w:pPr>
        <w:pStyle w:val="Heading1"/>
      </w:pPr>
      <w:r>
        <w:t xml:space="preserve">Notice</w:t>
      </w:r>
    </w:p>
    <w:p>
      <w:r>
        <w:t xml:space="preserve">This is a fictional demonstration document. It is not a real agreement and creates no obligation.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