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Times New Roman" w:hAnsi="Times New Roman" w:cs="Times New Roman"/>
          <w:b/>
          <w:i w:val="0"/>
          <w:caps/>
          <w:sz w:val="32"/>
          <w:u w:val="none"/>
        </w:rPr>
        <w:t>Nordvale Health Analytics – Contract Negotiation Playbook</w:t>
      </w:r>
    </w:p>
    <w:p>
      <w:pPr>
        <w:spacing w:before="0" w:after="200" w:line="276" w:lineRule="auto"/>
      </w:pPr>
      <w:r>
        <w:rPr>
          <w:rFonts w:ascii="Times New Roman" w:hAnsi="Times New Roman" w:cs="Times New Roman"/>
          <w:b w:val="0"/>
          <w:i/>
          <w:sz w:val="20"/>
          <w:u w:val="none"/>
        </w:rPr>
        <w:t>Buying positions for health data analytics software and related services</w:t>
      </w:r>
    </w:p>
    <w:p>
      <w:pPr>
        <w:spacing w:before="0" w:after="60" w:line="276" w:lineRule="auto"/>
      </w:pPr>
      <w:r>
        <w:rPr>
          <w:rFonts w:ascii="Times New Roman" w:hAnsi="Times New Roman" w:cs="Times New Roman"/>
          <w:b/>
          <w:i w:val="0"/>
          <w:u w:val="none"/>
        </w:rPr>
        <w:t xml:space="preserve">Document owner:  </w:t>
      </w:r>
      <w:r>
        <w:rPr>
          <w:rFonts w:ascii="Times New Roman" w:hAnsi="Times New Roman" w:cs="Times New Roman"/>
          <w:b w:val="0"/>
          <w:i w:val="0"/>
          <w:u w:val="none"/>
        </w:rPr>
        <w:t>Head of Legal and Privacy</w:t>
      </w:r>
    </w:p>
    <w:p>
      <w:pPr>
        <w:spacing w:before="0" w:after="60" w:line="276" w:lineRule="auto"/>
      </w:pPr>
      <w:r>
        <w:rPr>
          <w:rFonts w:ascii="Times New Roman" w:hAnsi="Times New Roman" w:cs="Times New Roman"/>
          <w:b/>
          <w:i w:val="0"/>
          <w:u w:val="none"/>
        </w:rPr>
        <w:t xml:space="preserve">Contributing owners:  </w:t>
      </w:r>
      <w:r>
        <w:rPr>
          <w:rFonts w:ascii="Times New Roman" w:hAnsi="Times New Roman" w:cs="Times New Roman"/>
          <w:b w:val="0"/>
          <w:i w:val="0"/>
          <w:u w:val="none"/>
        </w:rPr>
        <w:t>Chief Information Security Officer; Director of Clinical Data Products</w:t>
      </w:r>
    </w:p>
    <w:p>
      <w:pPr>
        <w:spacing w:before="0" w:after="60" w:line="276" w:lineRule="auto"/>
      </w:pPr>
      <w:r>
        <w:rPr>
          <w:rFonts w:ascii="Times New Roman" w:hAnsi="Times New Roman" w:cs="Times New Roman"/>
          <w:b/>
          <w:i w:val="0"/>
          <w:u w:val="none"/>
        </w:rPr>
        <w:t xml:space="preserve">Approved by:  </w:t>
      </w:r>
      <w:r>
        <w:rPr>
          <w:rFonts w:ascii="Times New Roman" w:hAnsi="Times New Roman" w:cs="Times New Roman"/>
          <w:b w:val="0"/>
          <w:i w:val="0"/>
          <w:u w:val="none"/>
        </w:rPr>
        <w:t>Chief Executive Officer; Data Protection Officer</w:t>
      </w:r>
    </w:p>
    <w:p>
      <w:pPr>
        <w:spacing w:before="0" w:after="60" w:line="276" w:lineRule="auto"/>
      </w:pPr>
      <w:r>
        <w:rPr>
          <w:rFonts w:ascii="Times New Roman" w:hAnsi="Times New Roman" w:cs="Times New Roman"/>
          <w:b/>
          <w:i w:val="0"/>
          <w:u w:val="none"/>
        </w:rPr>
        <w:t xml:space="preserve">Version:  </w:t>
      </w:r>
      <w:r>
        <w:rPr>
          <w:rFonts w:ascii="Times New Roman" w:hAnsi="Times New Roman" w:cs="Times New Roman"/>
          <w:b w:val="0"/>
          <w:i w:val="0"/>
          <w:u w:val="none"/>
        </w:rPr>
        <w:t>5.0</w:t>
      </w:r>
    </w:p>
    <w:p>
      <w:pPr>
        <w:spacing w:before="0" w:after="60" w:line="276" w:lineRule="auto"/>
      </w:pPr>
      <w:r>
        <w:rPr>
          <w:rFonts w:ascii="Times New Roman" w:hAnsi="Times New Roman" w:cs="Times New Roman"/>
          <w:b/>
          <w:i w:val="0"/>
          <w:u w:val="none"/>
        </w:rPr>
        <w:t xml:space="preserve">Status:  </w:t>
      </w:r>
      <w:r>
        <w:rPr>
          <w:rFonts w:ascii="Times New Roman" w:hAnsi="Times New Roman" w:cs="Times New Roman"/>
          <w:b w:val="0"/>
          <w:i w:val="0"/>
          <w:u w:val="none"/>
        </w:rPr>
        <w:t>Current. Supersedes version 4.6 in full.</w:t>
      </w:r>
    </w:p>
    <w:p>
      <w:pPr>
        <w:spacing w:before="0" w:after="60" w:line="276" w:lineRule="auto"/>
      </w:pPr>
      <w:r>
        <w:rPr>
          <w:rFonts w:ascii="Times New Roman" w:hAnsi="Times New Roman" w:cs="Times New Roman"/>
          <w:b/>
          <w:i w:val="0"/>
          <w:u w:val="none"/>
        </w:rPr>
        <w:t xml:space="preserve">Effective date:  </w:t>
      </w:r>
      <w:r>
        <w:rPr>
          <w:rFonts w:ascii="Times New Roman" w:hAnsi="Times New Roman" w:cs="Times New Roman"/>
          <w:b w:val="0"/>
          <w:i w:val="0"/>
          <w:u w:val="none"/>
        </w:rPr>
        <w:t>1 May 2026</w:t>
      </w:r>
    </w:p>
    <w:p>
      <w:pPr>
        <w:spacing w:before="0" w:after="60" w:line="276" w:lineRule="auto"/>
      </w:pPr>
      <w:r>
        <w:rPr>
          <w:rFonts w:ascii="Times New Roman" w:hAnsi="Times New Roman" w:cs="Times New Roman"/>
          <w:b/>
          <w:i w:val="0"/>
          <w:u w:val="none"/>
        </w:rPr>
        <w:t xml:space="preserve">Next review:  </w:t>
      </w:r>
      <w:r>
        <w:rPr>
          <w:rFonts w:ascii="Times New Roman" w:hAnsi="Times New Roman" w:cs="Times New Roman"/>
          <w:b w:val="0"/>
          <w:i w:val="0"/>
          <w:u w:val="none"/>
        </w:rPr>
        <w:t>1 May 2027, or earlier if the clinical safety position is affected by a regulatory change</w:t>
      </w:r>
    </w:p>
    <w:p>
      <w:pPr>
        <w:spacing w:before="0" w:after="60" w:line="276" w:lineRule="auto"/>
      </w:pPr>
      <w:r>
        <w:rPr>
          <w:rFonts w:ascii="Times New Roman" w:hAnsi="Times New Roman" w:cs="Times New Roman"/>
          <w:b/>
          <w:i w:val="0"/>
          <w:u w:val="none"/>
        </w:rPr>
        <w:t xml:space="preserve">Applies to:  </w:t>
      </w:r>
      <w:r>
        <w:rPr>
          <w:rFonts w:ascii="Times New Roman" w:hAnsi="Times New Roman" w:cs="Times New Roman"/>
          <w:b w:val="0"/>
          <w:i w:val="0"/>
          <w:u w:val="none"/>
        </w:rPr>
        <w:t>Data processing agreements in which Nordvale is the controller, on-premises software licences, professional services statements of work, and mutual non-disclosure agreements</w:t>
      </w:r>
    </w:p>
    <w:p>
      <w:pPr>
        <w:spacing w:before="0" w:after="60" w:line="276" w:lineRule="auto"/>
      </w:pPr>
      <w:r>
        <w:rPr>
          <w:rFonts w:ascii="Times New Roman" w:hAnsi="Times New Roman" w:cs="Times New Roman"/>
          <w:b/>
          <w:i w:val="0"/>
          <w:u w:val="none"/>
        </w:rPr>
        <w:t xml:space="preserve">Classification:  </w:t>
      </w:r>
      <w:r>
        <w:rPr>
          <w:rFonts w:ascii="Times New Roman" w:hAnsi="Times New Roman" w:cs="Times New Roman"/>
          <w:b w:val="0"/>
          <w:i w:val="0"/>
          <w:u w:val="none"/>
        </w:rPr>
        <w:t>Internal – Confidential. Distribution limited to the commercial, security and clinical product teams.</w:t>
      </w:r>
    </w:p>
    <w:p>
      <w:pPr>
        <w:spacing w:before="200" w:after="80" w:line="276" w:lineRule="auto"/>
      </w:pPr>
      <w:r>
        <w:rPr>
          <w:rFonts w:ascii="Times New Roman" w:hAnsi="Times New Roman" w:cs="Times New Roman"/>
          <w:b/>
          <w:i w:val="0"/>
          <w:caps/>
          <w:sz w:val="24"/>
          <w:u w:val="none"/>
        </w:rPr>
        <w:t>1. Purpose and who this is for</w:t>
      </w:r>
    </w:p>
    <w:p>
      <w:pPr>
        <w:spacing w:before="0" w:after="120" w:line="276" w:lineRule="auto"/>
      </w:pPr>
      <w:r>
        <w:rPr>
          <w:rFonts w:ascii="Times New Roman" w:hAnsi="Times New Roman" w:cs="Times New Roman"/>
          <w:b w:val="0"/>
          <w:i w:val="0"/>
          <w:u w:val="none"/>
        </w:rPr>
        <w:t>This playbook sets out the contractual positions Nordvale applies when it buys software, data processing services and consulting. It is written for the commercial team, for the security team when they are asked to complete a supplier assessment, and for the clinical product team when it is asked whether a product can be deployed on a particular vendor's platform.</w:t>
      </w:r>
    </w:p>
    <w:p>
      <w:pPr>
        <w:spacing w:before="0" w:after="120" w:line="276" w:lineRule="auto"/>
      </w:pPr>
      <w:r>
        <w:rPr>
          <w:rFonts w:ascii="Times New Roman" w:hAnsi="Times New Roman" w:cs="Times New Roman"/>
          <w:b w:val="0"/>
          <w:i w:val="0"/>
          <w:u w:val="none"/>
        </w:rPr>
        <w:t>Nordvale operates analytics services for NHS trusts, primary care networks and pharmaceutical research customers. That means two things follow for every contract we sign. First, our contracts have to work for the customers we serve, not only for us: a hospital trust will audit our supplier chain and will ask for the warranties and indemnities in our contract with our supplier, and if we cannot show them, we cannot deploy. Second, patient safety obligations sit alongside data protection obligations and frequently run on a different and shorter clock. We treat them as separate obligations that must both be satisfied, not as one issue with two names.</w:t>
      </w:r>
    </w:p>
    <w:p>
      <w:pPr>
        <w:spacing w:before="0" w:after="120" w:line="276" w:lineRule="auto"/>
      </w:pPr>
      <w:r>
        <w:rPr>
          <w:rFonts w:ascii="Times New Roman" w:hAnsi="Times New Roman" w:cs="Times New Roman"/>
          <w:b w:val="0"/>
          <w:i w:val="0"/>
          <w:u w:val="none"/>
        </w:rPr>
        <w:t>This document does not deal with the terms on which we supply services to our own customers. That is a separate playbook maintained by the commercial legal team and it has been deliberately kept separate, because the two sets of positions pull in opposite directions on several points and reading them together is confusing.</w:t>
      </w:r>
    </w:p>
    <w:p>
      <w:pPr>
        <w:spacing w:before="200" w:after="80" w:line="276" w:lineRule="auto"/>
      </w:pPr>
      <w:r>
        <w:rPr>
          <w:rFonts w:ascii="Times New Roman" w:hAnsi="Times New Roman" w:cs="Times New Roman"/>
          <w:b/>
          <w:i w:val="0"/>
          <w:caps/>
          <w:sz w:val="24"/>
          <w:u w:val="none"/>
        </w:rPr>
        <w:t>2. How we use this document</w:t>
      </w:r>
    </w:p>
    <w:p>
      <w:pPr>
        <w:spacing w:before="0" w:after="120" w:line="276" w:lineRule="auto"/>
      </w:pPr>
      <w:r>
        <w:rPr>
          <w:rFonts w:ascii="Times New Roman" w:hAnsi="Times New Roman" w:cs="Times New Roman"/>
          <w:b w:val="0"/>
          <w:i w:val="0"/>
          <w:u w:val="none"/>
        </w:rPr>
        <w:t>The commercial team should read this document in full before responding to a vendor paper for the first time. It is short enough to read and the reasoning is in it deliberately: a position that a lawyer understands but a buyer does not will not be held at the point where it matters.</w:t>
      </w:r>
    </w:p>
    <w:p>
      <w:pPr>
        <w:spacing w:before="0" w:after="120" w:line="276" w:lineRule="auto"/>
      </w:pPr>
      <w:r>
        <w:rPr>
          <w:rFonts w:ascii="Times New Roman" w:hAnsi="Times New Roman" w:cs="Times New Roman"/>
          <w:b w:val="0"/>
          <w:i w:val="0"/>
          <w:u w:val="none"/>
        </w:rPr>
        <w:t>Where a vendor paper contains a provision that this document does not address, treat that as an open question rather than as a gap in the vendor's draft. Health data supply is a fast-moving area and our positions lag behind what vendors now propose. Where you encounter something new, say so, so that it can be added at the next review.</w:t>
      </w:r>
    </w:p>
    <w:p>
      <w:pPr>
        <w:spacing w:before="200" w:after="80" w:line="276" w:lineRule="auto"/>
      </w:pPr>
      <w:r>
        <w:rPr>
          <w:rFonts w:ascii="Times New Roman" w:hAnsi="Times New Roman" w:cs="Times New Roman"/>
          <w:b/>
          <w:i w:val="0"/>
          <w:caps/>
          <w:sz w:val="24"/>
          <w:u w:val="none"/>
        </w:rPr>
        <w:t>3. Data protection: the framework</w:t>
      </w:r>
    </w:p>
    <w:p>
      <w:pPr>
        <w:spacing w:before="0" w:after="120" w:line="276" w:lineRule="auto"/>
      </w:pPr>
      <w:r>
        <w:rPr>
          <w:rFonts w:ascii="Times New Roman" w:hAnsi="Times New Roman" w:cs="Times New Roman"/>
          <w:b w:val="0"/>
          <w:i w:val="0"/>
          <w:u w:val="none"/>
        </w:rPr>
        <w:t>Every data processing arrangement we sign should say plainly who the controller is and who the processor is, and should describe the processing in terms specific enough that a reader can tell what the vendor will actually do with the data. We do not adopt a vendor's privacy notice for this purpose. A privacy notice is written to describe a business, not to allocate responsibility between two parties, and it will describe the vendor's purposes as well as ours.</w:t>
      </w:r>
    </w:p>
    <w:p>
      <w:pPr>
        <w:spacing w:before="0" w:after="120" w:line="276" w:lineRule="auto"/>
      </w:pPr>
      <w:r>
        <w:rPr>
          <w:rFonts w:ascii="Times New Roman" w:hAnsi="Times New Roman" w:cs="Times New Roman"/>
          <w:b w:val="0"/>
          <w:i w:val="0"/>
          <w:u w:val="none"/>
        </w:rPr>
        <w:t>Where we act as a processor for a hospital trust, our own customer, we need the same article 28 terms flowing down to our sub-processors. That means we cannot sign terms from an upstream vendor that are narrower than the terms we owe our customer, and where the two sets of papers conflict the more protective one governs our obligations to the trust, whatever our vendor has agreed with us.</w:t>
      </w:r>
    </w:p>
    <w:p>
      <w:pPr>
        <w:spacing w:before="120" w:after="60" w:line="276" w:lineRule="auto"/>
      </w:pPr>
      <w:r>
        <w:rPr>
          <w:rFonts w:ascii="Times New Roman" w:hAnsi="Times New Roman" w:cs="Times New Roman"/>
          <w:b/>
          <w:i w:val="0"/>
          <w:sz w:val="21"/>
          <w:u w:val="none"/>
        </w:rPr>
        <w:t>The parties and the data</w:t>
      </w:r>
    </w:p>
    <w:p>
      <w:pPr>
        <w:spacing w:before="0" w:after="120" w:line="276" w:lineRule="auto"/>
      </w:pPr>
      <w:r>
        <w:rPr>
          <w:rFonts w:ascii="Times New Roman" w:hAnsi="Times New Roman" w:cs="Times New Roman"/>
          <w:b w:val="0"/>
          <w:i w:val="0"/>
          <w:u w:val="none"/>
        </w:rPr>
        <w:t>Our position: We are the controller and the vendor is the processor in respect of all Personal Data we send to them, and no vendor may determine the purposes or means of processing for data relating to an identified or identifiable patient.</w:t>
      </w:r>
    </w:p>
    <w:p>
      <w:pPr>
        <w:spacing w:before="0" w:after="120" w:line="276" w:lineRule="auto"/>
      </w:pPr>
      <w:r>
        <w:rPr>
          <w:rFonts w:ascii="Times New Roman" w:hAnsi="Times New Roman" w:cs="Times New Roman"/>
          <w:b w:val="0"/>
          <w:i w:val="0"/>
          <w:u w:val="none"/>
        </w:rPr>
        <w:t>We can accept: the vendor's own controller and processor identification where it matches ours and the description of purposes is specific rather than generic.</w:t>
      </w:r>
    </w:p>
    <w:p>
      <w:pPr>
        <w:spacing w:before="0" w:after="120" w:line="276" w:lineRule="auto"/>
      </w:pPr>
      <w:r>
        <w:rPr>
          <w:rFonts w:ascii="Times New Roman" w:hAnsi="Times New Roman" w:cs="Times New Roman"/>
          <w:b w:val="0"/>
          <w:i w:val="0"/>
          <w:u w:val="none"/>
        </w:rPr>
        <w:t>We do not cross this line: Any term that makes a vendor a controller or an independent controller for patient data, including a term that lets the vendor aggregate data across its customers for its own purposes. We will not sign a clause on the basis that we will read it narrowly.</w:t>
      </w:r>
    </w:p>
    <w:p>
      <w:pPr>
        <w:spacing w:before="0" w:after="120" w:line="276" w:lineRule="auto"/>
      </w:pPr>
      <w:r>
        <w:rPr>
          <w:rFonts w:ascii="Times New Roman" w:hAnsi="Times New Roman" w:cs="Times New Roman"/>
          <w:b w:val="0"/>
          <w:i w:val="0"/>
          <w:u w:val="none"/>
        </w:rPr>
        <w:t>Vendors frequently start from their own privacy notice and adapt it. A privacy notice is not a contractual allocation of roles, and adopting one imports the vendor's purposes into our arrangement.</w:t>
      </w:r>
    </w:p>
    <w:p>
      <w:pPr>
        <w:spacing w:before="120" w:after="60" w:line="276" w:lineRule="auto"/>
      </w:pPr>
      <w:r>
        <w:rPr>
          <w:rFonts w:ascii="Times New Roman" w:hAnsi="Times New Roman" w:cs="Times New Roman"/>
          <w:b/>
          <w:i w:val="0"/>
          <w:sz w:val="21"/>
          <w:u w:val="none"/>
        </w:rPr>
        <w:t>What the vendor may do with the data</w:t>
      </w:r>
    </w:p>
    <w:p>
      <w:pPr>
        <w:spacing w:before="0" w:after="120" w:line="276" w:lineRule="auto"/>
      </w:pPr>
      <w:r>
        <w:rPr>
          <w:rFonts w:ascii="Times New Roman" w:hAnsi="Times New Roman" w:cs="Times New Roman"/>
          <w:b w:val="0"/>
          <w:i w:val="0"/>
          <w:u w:val="none"/>
        </w:rPr>
        <w:t>Our position: Processing is limited to the purposes described in the processing schedule. The vendor may not use patient data, or any derivative, pseudonymised or aggregated output of it, for its own research, product development, benchmarking, sales, or the benefit of any other customer.</w:t>
      </w:r>
    </w:p>
    <w:p>
      <w:pPr>
        <w:spacing w:before="0" w:after="120" w:line="276" w:lineRule="auto"/>
      </w:pPr>
      <w:r>
        <w:rPr>
          <w:rFonts w:ascii="Times New Roman" w:hAnsi="Times New Roman" w:cs="Times New Roman"/>
          <w:b w:val="0"/>
          <w:i w:val="0"/>
          <w:u w:val="none"/>
        </w:rPr>
        <w:t>We can accept: We can accept the use of genuinely anonymised output, where the contractual standard of anonymisation is set out and the vendor warrants that re-identification is not reasonably likely, for internal service improvement only.</w:t>
      </w:r>
    </w:p>
    <w:p>
      <w:pPr>
        <w:spacing w:before="0" w:after="120" w:line="276" w:lineRule="auto"/>
      </w:pPr>
      <w:r>
        <w:rPr>
          <w:rFonts w:ascii="Times New Roman" w:hAnsi="Times New Roman" w:cs="Times New Roman"/>
          <w:b w:val="0"/>
          <w:i w:val="0"/>
          <w:u w:val="none"/>
        </w:rPr>
        <w:t>We do not cross this line: Any right to use our data, or data derived from our data, whether anonymised or otherwise, to build a product or a model for the vendor or for anyone else. Also any consent or waiver permitting commercial research.</w:t>
      </w:r>
    </w:p>
    <w:p>
      <w:pPr>
        <w:spacing w:before="0" w:after="120" w:line="276" w:lineRule="auto"/>
      </w:pPr>
      <w:r>
        <w:rPr>
          <w:rFonts w:ascii="Times New Roman" w:hAnsi="Times New Roman" w:cs="Times New Roman"/>
          <w:b w:val="0"/>
          <w:i w:val="0"/>
          <w:u w:val="none"/>
        </w:rPr>
        <w:t>Pseudonymised data remains personal data. Contracts that say the vendor may use pseudonymous data are describing a second processing purpose that nobody has assessed, and that is precisely where the breach happens.</w:t>
      </w:r>
    </w:p>
    <w:p>
      <w:pPr>
        <w:spacing w:before="120" w:after="60" w:line="276" w:lineRule="auto"/>
      </w:pPr>
      <w:r>
        <w:rPr>
          <w:rFonts w:ascii="Times New Roman" w:hAnsi="Times New Roman" w:cs="Times New Roman"/>
          <w:b/>
          <w:i w:val="0"/>
          <w:sz w:val="21"/>
          <w:u w:val="none"/>
        </w:rPr>
        <w:t>Special category data</w:t>
      </w:r>
    </w:p>
    <w:p>
      <w:pPr>
        <w:spacing w:before="0" w:after="120" w:line="276" w:lineRule="auto"/>
      </w:pPr>
      <w:r>
        <w:rPr>
          <w:rFonts w:ascii="Times New Roman" w:hAnsi="Times New Roman" w:cs="Times New Roman"/>
          <w:b w:val="0"/>
          <w:i w:val="0"/>
          <w:u w:val="none"/>
        </w:rPr>
        <w:t>Our position: Where the processing includes special category data about health, the processing schedule must identify the data, the Article 6 lawful basis relied on, and the Article 9 condition relied on, for each processing purpose. We will not accept a processing schedule that simply says the data is health data.</w:t>
      </w:r>
    </w:p>
    <w:p>
      <w:pPr>
        <w:spacing w:before="0" w:after="120" w:line="276" w:lineRule="auto"/>
      </w:pPr>
      <w:r>
        <w:rPr>
          <w:rFonts w:ascii="Times New Roman" w:hAnsi="Times New Roman" w:cs="Times New Roman"/>
          <w:b w:val="0"/>
          <w:i w:val="0"/>
          <w:u w:val="none"/>
        </w:rPr>
        <w:t>We can accept: We can accept a shorter schedule where the processing is limited to pseudonymised data with no re-identification key held by the vendor.</w:t>
      </w:r>
    </w:p>
    <w:p>
      <w:pPr>
        <w:spacing w:before="0" w:after="120" w:line="276" w:lineRule="auto"/>
      </w:pPr>
      <w:r>
        <w:rPr>
          <w:rFonts w:ascii="Times New Roman" w:hAnsi="Times New Roman" w:cs="Times New Roman"/>
          <w:b w:val="0"/>
          <w:i w:val="0"/>
          <w:u w:val="none"/>
        </w:rPr>
        <w:t>We do not cross this line: Any arrangement where the vendor is the party deciding the lawful basis or the Article 9 condition. Also any consent workflow where the vendor collects consent on our behalf without our written approval of the consent text.</w:t>
      </w:r>
    </w:p>
    <w:p>
      <w:pPr>
        <w:spacing w:before="0" w:after="120" w:line="276" w:lineRule="auto"/>
      </w:pPr>
      <w:r>
        <w:rPr>
          <w:rFonts w:ascii="Times New Roman" w:hAnsi="Times New Roman" w:cs="Times New Roman"/>
          <w:b w:val="0"/>
          <w:i w:val="0"/>
          <w:u w:val="none"/>
        </w:rPr>
        <w:t>Where we act as a sub-processor for a hospital trust, the trust is the controller and we need the same article 28 terms flowing down. We should not accept terms from our own vendor that would leave us exposed to the trust.</w:t>
      </w:r>
    </w:p>
    <w:p>
      <w:pPr>
        <w:spacing w:before="200" w:after="80" w:line="276" w:lineRule="auto"/>
      </w:pPr>
      <w:r>
        <w:rPr>
          <w:rFonts w:ascii="Times New Roman" w:hAnsi="Times New Roman" w:cs="Times New Roman"/>
          <w:b/>
          <w:i w:val="0"/>
          <w:caps/>
          <w:sz w:val="24"/>
          <w:u w:val="none"/>
        </w:rPr>
        <w:t>3.4 Rights of data subjects</w:t>
      </w:r>
    </w:p>
    <w:p>
      <w:pPr>
        <w:spacing w:before="120" w:after="60" w:line="276" w:lineRule="auto"/>
      </w:pPr>
      <w:r>
        <w:rPr>
          <w:rFonts w:ascii="Times New Roman" w:hAnsi="Times New Roman" w:cs="Times New Roman"/>
          <w:b/>
          <w:i w:val="0"/>
          <w:sz w:val="21"/>
          <w:u w:val="none"/>
        </w:rPr>
        <w:t>Assistance with rights requests</w:t>
      </w:r>
    </w:p>
    <w:p>
      <w:pPr>
        <w:spacing w:before="0" w:after="120" w:line="276" w:lineRule="auto"/>
      </w:pPr>
      <w:r>
        <w:rPr>
          <w:rFonts w:ascii="Times New Roman" w:hAnsi="Times New Roman" w:cs="Times New Roman"/>
          <w:b w:val="0"/>
          <w:i w:val="0"/>
          <w:u w:val="none"/>
        </w:rPr>
        <w:t>Our position: The vendor assists us, taking into account the nature of the processing, to respond to requests to exercise rights under Articles 12 to 22, within a defined period of our request, and does not respond to data subjects directly about data it holds on our behalf.</w:t>
      </w:r>
    </w:p>
    <w:p>
      <w:pPr>
        <w:spacing w:before="0" w:after="120" w:line="276" w:lineRule="auto"/>
      </w:pPr>
      <w:r>
        <w:rPr>
          <w:rFonts w:ascii="Times New Roman" w:hAnsi="Times New Roman" w:cs="Times New Roman"/>
          <w:b w:val="0"/>
          <w:i w:val="0"/>
          <w:u w:val="none"/>
        </w:rPr>
        <w:t>We can accept: We can accept assistance within 60 calendar days for non-urgent requests, with immediate escalation on notice of a complaint or a regulatory enquiry.</w:t>
      </w:r>
    </w:p>
    <w:p>
      <w:pPr>
        <w:spacing w:before="0" w:after="120" w:line="276" w:lineRule="auto"/>
      </w:pPr>
      <w:r>
        <w:rPr>
          <w:rFonts w:ascii="Times New Roman" w:hAnsi="Times New Roman" w:cs="Times New Roman"/>
          <w:b w:val="0"/>
          <w:i w:val="0"/>
          <w:u w:val="none"/>
        </w:rPr>
        <w:t>We do not cross this line: Any term under which the vendor responds to data subjects in its own name, or that gives the vendor discretion to decide whether a request should be passed to us.</w:t>
      </w:r>
    </w:p>
    <w:p>
      <w:pPr>
        <w:spacing w:before="0" w:after="120" w:line="276" w:lineRule="auto"/>
      </w:pPr>
      <w:r>
        <w:rPr>
          <w:rFonts w:ascii="Times New Roman" w:hAnsi="Times New Roman" w:cs="Times New Roman"/>
          <w:b w:val="0"/>
          <w:i w:val="0"/>
          <w:u w:val="none"/>
        </w:rPr>
        <w:t>A vendor that contacts a patient directly about data we hold for them has already breached patient confidentiality before the data protection question arises. The prohibition on direct contact should be absolute, not qualified by 'where legally permitted'.</w:t>
      </w:r>
    </w:p>
    <w:p>
      <w:pPr>
        <w:spacing w:before="200" w:after="80" w:line="276" w:lineRule="auto"/>
      </w:pPr>
      <w:r>
        <w:rPr>
          <w:rFonts w:ascii="Times New Roman" w:hAnsi="Times New Roman" w:cs="Times New Roman"/>
          <w:b/>
          <w:i w:val="0"/>
          <w:caps/>
          <w:sz w:val="24"/>
          <w:u w:val="none"/>
        </w:rPr>
        <w:t>4. Sub-processors and onward transfers</w:t>
      </w:r>
    </w:p>
    <w:p>
      <w:pPr>
        <w:spacing w:before="120" w:after="60" w:line="276" w:lineRule="auto"/>
      </w:pPr>
      <w:r>
        <w:rPr>
          <w:rFonts w:ascii="Times New Roman" w:hAnsi="Times New Roman" w:cs="Times New Roman"/>
          <w:b/>
          <w:i w:val="0"/>
          <w:sz w:val="21"/>
          <w:u w:val="none"/>
        </w:rPr>
        <w:t>Sub-processors</w:t>
      </w:r>
    </w:p>
    <w:p>
      <w:pPr>
        <w:spacing w:before="0" w:after="120" w:line="276" w:lineRule="auto"/>
      </w:pPr>
      <w:r>
        <w:rPr>
          <w:rFonts w:ascii="Times New Roman" w:hAnsi="Times New Roman" w:cs="Times New Roman"/>
          <w:b w:val="0"/>
          <w:i w:val="0"/>
          <w:u w:val="none"/>
        </w:rPr>
        <w:t>Our position: We give general authorisation for sub-processors listed in the contract, with 30 days' prior written notice of any addition or replacement to our Data Protection Officer. We may object on reasonable grounds. If we cannot agree, we may terminate the affected services without penalty and receive a pro-rata refund of prepaid fees.</w:t>
      </w:r>
    </w:p>
    <w:p>
      <w:pPr>
        <w:spacing w:before="0" w:after="120" w:line="276" w:lineRule="auto"/>
      </w:pPr>
      <w:r>
        <w:rPr>
          <w:rFonts w:ascii="Times New Roman" w:hAnsi="Times New Roman" w:cs="Times New Roman"/>
          <w:b w:val="0"/>
          <w:i w:val="0"/>
          <w:u w:val="none"/>
        </w:rPr>
        <w:t>We can accept: 45 days' notice with the same objection and termination rights.</w:t>
      </w:r>
    </w:p>
    <w:p>
      <w:pPr>
        <w:spacing w:before="0" w:after="120" w:line="276" w:lineRule="auto"/>
      </w:pPr>
      <w:r>
        <w:rPr>
          <w:rFonts w:ascii="Times New Roman" w:hAnsi="Times New Roman" w:cs="Times New Roman"/>
          <w:b w:val="0"/>
          <w:i w:val="0"/>
          <w:u w:val="none"/>
        </w:rPr>
        <w:t>We do not cross this line: Specific prior authorisation for every sub-processor, with no objection route. Also any provision that the vendor may appoint a sub-processor in a jurisdiction without an approved transfer mechanism.</w:t>
      </w:r>
    </w:p>
    <w:p>
      <w:pPr>
        <w:spacing w:before="0" w:after="120" w:line="276" w:lineRule="auto"/>
      </w:pPr>
      <w:r>
        <w:rPr>
          <w:rFonts w:ascii="Times New Roman" w:hAnsi="Times New Roman" w:cs="Times New Roman"/>
          <w:b w:val="0"/>
          <w:i w:val="0"/>
          <w:u w:val="none"/>
        </w:rPr>
        <w:t>Ask which sub-processors are actually in the path for our data, including the sub-processor's own sub-processor. Vendors describe the immediate layer and stop, and our sub-processor register has to reflect what is really happening.</w:t>
      </w:r>
    </w:p>
    <w:p>
      <w:pPr>
        <w:spacing w:before="200" w:after="80" w:line="276" w:lineRule="auto"/>
      </w:pPr>
      <w:r>
        <w:rPr>
          <w:rFonts w:ascii="Times New Roman" w:hAnsi="Times New Roman" w:cs="Times New Roman"/>
          <w:b/>
          <w:i w:val="0"/>
          <w:caps/>
          <w:sz w:val="24"/>
          <w:u w:val="none"/>
        </w:rPr>
        <w:t>4.2 Location of processing</w:t>
      </w:r>
    </w:p>
    <w:p>
      <w:pPr>
        <w:spacing w:before="0" w:after="120" w:line="276" w:lineRule="auto"/>
      </w:pPr>
      <w:r>
        <w:rPr>
          <w:rFonts w:ascii="Times New Roman" w:hAnsi="Times New Roman" w:cs="Times New Roman"/>
          <w:b w:val="0"/>
          <w:i w:val="0"/>
          <w:u w:val="none"/>
        </w:rPr>
        <w:t>Processing, storage and backup of personal data relating to identified or identifiable patients takes place in the United Kingdom or the European Economic Area. Where that is not possible we will consider the UK Addendum or the 2021 Standard Contractual Clauses, but only after a transfer risk assessment has been completed and shared with us.</w:t>
      </w:r>
    </w:p>
    <w:p>
      <w:pPr>
        <w:spacing w:before="120" w:after="60" w:line="276" w:lineRule="auto"/>
      </w:pPr>
      <w:r>
        <w:rPr>
          <w:rFonts w:ascii="Times New Roman" w:hAnsi="Times New Roman" w:cs="Times New Roman"/>
          <w:b/>
          <w:i w:val="0"/>
          <w:sz w:val="21"/>
          <w:u w:val="none"/>
        </w:rPr>
        <w:t>International transfers</w:t>
      </w:r>
    </w:p>
    <w:p>
      <w:pPr>
        <w:spacing w:before="0" w:after="120" w:line="276" w:lineRule="auto"/>
      </w:pPr>
      <w:r>
        <w:rPr>
          <w:rFonts w:ascii="Times New Roman" w:hAnsi="Times New Roman" w:cs="Times New Roman"/>
          <w:b w:val="0"/>
          <w:i w:val="0"/>
          <w:u w:val="none"/>
        </w:rPr>
        <w:t>Our position: All processing, storage and backup of personal data relating to identified or identifiable patients takes place in the United Kingdom or the European Economic Area. Any transfer outside that area requires a documented transfer mechanism and a transfer risk assessment completed before the transfer begins, not after it.</w:t>
      </w:r>
    </w:p>
    <w:p>
      <w:pPr>
        <w:spacing w:before="0" w:after="120" w:line="276" w:lineRule="auto"/>
      </w:pPr>
      <w:r>
        <w:rPr>
          <w:rFonts w:ascii="Times New Roman" w:hAnsi="Times New Roman" w:cs="Times New Roman"/>
          <w:b w:val="0"/>
          <w:i w:val="0"/>
          <w:u w:val="none"/>
        </w:rPr>
        <w:t>We can accept: the UK Addendum and the 2021 EU Standard Contractual Clauses where a transfer is genuinely necessary, with the transfer risk assessment completed and shared with us.</w:t>
      </w:r>
    </w:p>
    <w:p>
      <w:pPr>
        <w:spacing w:before="0" w:after="120" w:line="276" w:lineRule="auto"/>
      </w:pPr>
      <w:r>
        <w:rPr>
          <w:rFonts w:ascii="Times New Roman" w:hAnsi="Times New Roman" w:cs="Times New Roman"/>
          <w:b w:val="0"/>
          <w:i w:val="0"/>
          <w:u w:val="none"/>
        </w:rPr>
        <w:t>We do not cross this line: Any arrangement where the vendor will not tell us where the data is processed or backed up, and any transfer to a jurisdiction where we have not completed a transfer risk assessment.</w:t>
      </w:r>
    </w:p>
    <w:p>
      <w:pPr>
        <w:spacing w:before="0" w:after="120" w:line="276" w:lineRule="auto"/>
      </w:pPr>
      <w:r>
        <w:rPr>
          <w:rFonts w:ascii="Times New Roman" w:hAnsi="Times New Roman" w:cs="Times New Roman"/>
          <w:b w:val="0"/>
          <w:i w:val="0"/>
          <w:u w:val="none"/>
        </w:rPr>
        <w:t>Clouds offer regional pinning in most cases and it is usually available at no cost. If the answer to where the data sits is that it depends on the region we choose, the region belongs in the contract rather than in a support article we cannot enforce.</w:t>
      </w:r>
    </w:p>
    <w:p>
      <w:pPr>
        <w:spacing w:before="200" w:after="80" w:line="276" w:lineRule="auto"/>
      </w:pPr>
      <w:r>
        <w:rPr>
          <w:rFonts w:ascii="Times New Roman" w:hAnsi="Times New Roman" w:cs="Times New Roman"/>
          <w:b/>
          <w:i w:val="0"/>
          <w:caps/>
          <w:sz w:val="24"/>
          <w:u w:val="none"/>
        </w:rPr>
        <w:t>5. Security</w:t>
      </w:r>
    </w:p>
    <w:p>
      <w:pPr>
        <w:spacing w:before="120" w:after="60" w:line="276" w:lineRule="auto"/>
      </w:pPr>
      <w:r>
        <w:rPr>
          <w:rFonts w:ascii="Times New Roman" w:hAnsi="Times New Roman" w:cs="Times New Roman"/>
          <w:b/>
          <w:i w:val="0"/>
          <w:sz w:val="21"/>
          <w:u w:val="none"/>
        </w:rPr>
        <w:t>Security measures and breach notification</w:t>
      </w:r>
    </w:p>
    <w:p>
      <w:pPr>
        <w:spacing w:before="0" w:after="120" w:line="276" w:lineRule="auto"/>
      </w:pPr>
      <w:r>
        <w:rPr>
          <w:rFonts w:ascii="Times New Roman" w:hAnsi="Times New Roman" w:cs="Times New Roman"/>
          <w:b w:val="0"/>
          <w:i w:val="0"/>
          <w:u w:val="none"/>
        </w:rPr>
        <w:t>Our position: The vendor maintains a security management system aligned to ISO 27001 and evidences it by annual SOC 2 Type II attestation. Security measures are described in a schedule rather than by reference to the vendor's public documentation. The vendor notifies us of any personal data breach without undue delay and in any event within 24 hours of becoming aware.</w:t>
      </w:r>
    </w:p>
    <w:p>
      <w:pPr>
        <w:spacing w:before="0" w:after="120" w:line="276" w:lineRule="auto"/>
      </w:pPr>
      <w:r>
        <w:rPr>
          <w:rFonts w:ascii="Times New Roman" w:hAnsi="Times New Roman" w:cs="Times New Roman"/>
          <w:b w:val="0"/>
          <w:i w:val="0"/>
          <w:u w:val="none"/>
        </w:rPr>
        <w:t>We can accept: notification within 48 hours, provided the vendor supplies the information needed for our assessment within a further 24 hours.</w:t>
      </w:r>
    </w:p>
    <w:p>
      <w:pPr>
        <w:spacing w:before="0" w:after="120" w:line="276" w:lineRule="auto"/>
      </w:pPr>
      <w:r>
        <w:rPr>
          <w:rFonts w:ascii="Times New Roman" w:hAnsi="Times New Roman" w:cs="Times New Roman"/>
          <w:b w:val="0"/>
          <w:i w:val="0"/>
          <w:u w:val="none"/>
        </w:rPr>
        <w:t>We do not cross this line: Any notification period longer than 72 hours for a processor. A processor that tells us at 72 hours has used our entire regulatory window.</w:t>
      </w:r>
    </w:p>
    <w:p>
      <w:pPr>
        <w:spacing w:before="0" w:after="120" w:line="276" w:lineRule="auto"/>
      </w:pPr>
      <w:r>
        <w:rPr>
          <w:rFonts w:ascii="Times New Roman" w:hAnsi="Times New Roman" w:cs="Times New Roman"/>
          <w:b w:val="0"/>
          <w:i w:val="0"/>
          <w:u w:val="none"/>
        </w:rPr>
        <w:t>Where health data is concerned we also need the clinical safety route, not only the data protection route. A breach that affects the integrity of a clinical output is both a personal data breach and a patient safety incident, and the two reporting clocks run in parallel.</w:t>
      </w:r>
    </w:p>
    <w:p>
      <w:pPr>
        <w:spacing w:before="200" w:after="80" w:line="276" w:lineRule="auto"/>
      </w:pPr>
      <w:r>
        <w:rPr>
          <w:rFonts w:ascii="Times New Roman" w:hAnsi="Times New Roman" w:cs="Times New Roman"/>
          <w:b/>
          <w:i w:val="0"/>
          <w:caps/>
          <w:sz w:val="24"/>
          <w:u w:val="none"/>
        </w:rPr>
        <w:t>5.3 Parallel incident routes</w:t>
      </w:r>
    </w:p>
    <w:p>
      <w:pPr>
        <w:spacing w:before="0" w:after="120" w:line="276" w:lineRule="auto"/>
      </w:pPr>
      <w:r>
        <w:rPr>
          <w:rFonts w:ascii="Times New Roman" w:hAnsi="Times New Roman" w:cs="Times New Roman"/>
          <w:b w:val="0"/>
          <w:i w:val="0"/>
          <w:u w:val="none"/>
        </w:rPr>
        <w:t>A security incident that affects the integrity of an output that has been used in a clinical or operational decision is simultaneously a personal data breach and a patient safety incident. Both clocks run. Our vendors are not always alive to the second one, and where they are not, we carry it ourselves.</w:t>
      </w:r>
    </w:p>
    <w:p>
      <w:pPr>
        <w:spacing w:before="120" w:after="60" w:line="276" w:lineRule="auto"/>
      </w:pPr>
      <w:r>
        <w:rPr>
          <w:rFonts w:ascii="Times New Roman" w:hAnsi="Times New Roman" w:cs="Times New Roman"/>
          <w:b/>
          <w:i w:val="0"/>
          <w:sz w:val="21"/>
          <w:u w:val="none"/>
        </w:rPr>
        <w:t>Audit and evidence</w:t>
      </w:r>
    </w:p>
    <w:p>
      <w:pPr>
        <w:spacing w:before="0" w:after="120" w:line="276" w:lineRule="auto"/>
      </w:pPr>
      <w:r>
        <w:rPr>
          <w:rFonts w:ascii="Times New Roman" w:hAnsi="Times New Roman" w:cs="Times New Roman"/>
          <w:b w:val="0"/>
          <w:i w:val="0"/>
          <w:u w:val="none"/>
        </w:rPr>
        <w:t>Our position: The vendor provides its SOC 2 Type II report and ISO certificate on request once a year under an existing confidentiality agreement. We may audit once a year on 30 days' notice, and additionally following a material incident or a material control failure, with scope limited to systems processing our data.</w:t>
      </w:r>
    </w:p>
    <w:p>
      <w:pPr>
        <w:spacing w:before="0" w:after="120" w:line="276" w:lineRule="auto"/>
      </w:pPr>
      <w:r>
        <w:rPr>
          <w:rFonts w:ascii="Times New Roman" w:hAnsi="Times New Roman" w:cs="Times New Roman"/>
          <w:b w:val="0"/>
          <w:i w:val="0"/>
          <w:u w:val="none"/>
        </w:rPr>
        <w:t>We can accept: an independent third-party assessment instead of an audit right, provided the report is shared with us first and we have 30 days to raise objections before it is provided.</w:t>
      </w:r>
    </w:p>
    <w:p>
      <w:pPr>
        <w:spacing w:before="0" w:after="120" w:line="276" w:lineRule="auto"/>
      </w:pPr>
      <w:r>
        <w:rPr>
          <w:rFonts w:ascii="Times New Roman" w:hAnsi="Times New Roman" w:cs="Times New Roman"/>
          <w:b w:val="0"/>
          <w:i w:val="0"/>
          <w:u w:val="none"/>
        </w:rPr>
        <w:t>We do not cross this line: Audit rights exercisable at will, or more than twice in a year, or over the vendor's corporate systems and other customers' systems.</w:t>
      </w:r>
    </w:p>
    <w:p>
      <w:pPr>
        <w:spacing w:before="0" w:after="120" w:line="276" w:lineRule="auto"/>
      </w:pPr>
      <w:r>
        <w:rPr>
          <w:rFonts w:ascii="Times New Roman" w:hAnsi="Times New Roman" w:cs="Times New Roman"/>
          <w:b w:val="0"/>
          <w:i w:val="0"/>
          <w:u w:val="none"/>
        </w:rPr>
        <w:t>In health we will be asked by customers and by regulators to evidence our supplier chain. If we cannot produce our supplier's attestation, we cannot evidence ours.</w:t>
      </w:r>
    </w:p>
    <w:p>
      <w:pPr>
        <w:spacing w:before="200" w:after="80" w:line="276" w:lineRule="auto"/>
      </w:pPr>
      <w:r>
        <w:rPr>
          <w:rFonts w:ascii="Times New Roman" w:hAnsi="Times New Roman" w:cs="Times New Roman"/>
          <w:b/>
          <w:i w:val="0"/>
          <w:caps/>
          <w:sz w:val="24"/>
          <w:u w:val="none"/>
        </w:rPr>
        <w:t>6. Retention and deletion</w:t>
      </w:r>
    </w:p>
    <w:p>
      <w:pPr>
        <w:spacing w:before="0" w:after="120" w:line="276" w:lineRule="auto"/>
      </w:pPr>
      <w:r>
        <w:rPr>
          <w:rFonts w:ascii="Times New Roman" w:hAnsi="Times New Roman" w:cs="Times New Roman"/>
          <w:b w:val="0"/>
          <w:i w:val="0"/>
          <w:u w:val="none"/>
        </w:rPr>
        <w:t>Retention is where contract terms and schedules quietly disagree. Check the number in the clause and the number in the schedule and, where they differ, assume we are bound by the longer one, because we agreed to both.</w:t>
      </w:r>
    </w:p>
    <w:p>
      <w:pPr>
        <w:spacing w:before="120" w:after="60" w:line="276" w:lineRule="auto"/>
      </w:pPr>
      <w:r>
        <w:rPr>
          <w:rFonts w:ascii="Times New Roman" w:hAnsi="Times New Roman" w:cs="Times New Roman"/>
          <w:b/>
          <w:i w:val="0"/>
          <w:sz w:val="21"/>
          <w:u w:val="none"/>
        </w:rPr>
        <w:t>Retention, deletion and patient record obligations</w:t>
      </w:r>
    </w:p>
    <w:p>
      <w:pPr>
        <w:spacing w:before="0" w:after="120" w:line="276" w:lineRule="auto"/>
      </w:pPr>
      <w:r>
        <w:rPr>
          <w:rFonts w:ascii="Times New Roman" w:hAnsi="Times New Roman" w:cs="Times New Roman"/>
          <w:b w:val="0"/>
          <w:i w:val="0"/>
          <w:u w:val="none"/>
        </w:rPr>
        <w:t>Our position: The vendor retains personal data only for the period set out in the processing schedule and deletes it within 90 days of the end of that period, including from backups within 180 days, with a written confirmation on request. Where our own regulatory record-keeping obligations require us to retain outputs, the vendor supports us to extract them in a machine-readable format rather than holding a copy for us.</w:t>
      </w:r>
    </w:p>
    <w:p>
      <w:pPr>
        <w:spacing w:before="0" w:after="120" w:line="276" w:lineRule="auto"/>
      </w:pPr>
      <w:r>
        <w:rPr>
          <w:rFonts w:ascii="Times New Roman" w:hAnsi="Times New Roman" w:cs="Times New Roman"/>
          <w:b w:val="0"/>
          <w:i w:val="0"/>
          <w:u w:val="none"/>
        </w:rPr>
        <w:t>We can accept: a 180-day active system deletion and 365-day backup deletion, with written confirmation on request.</w:t>
      </w:r>
    </w:p>
    <w:p>
      <w:pPr>
        <w:spacing w:before="0" w:after="120" w:line="276" w:lineRule="auto"/>
      </w:pPr>
      <w:r>
        <w:rPr>
          <w:rFonts w:ascii="Times New Roman" w:hAnsi="Times New Roman" w:cs="Times New Roman"/>
          <w:b w:val="0"/>
          <w:i w:val="0"/>
          <w:u w:val="none"/>
        </w:rPr>
        <w:t>We do not cross this line: An open-ended retention period, or retention on the vendor's behalf for our regulatory record keeping with no defined end date and no export obligation.</w:t>
      </w:r>
    </w:p>
    <w:p>
      <w:pPr>
        <w:spacing w:before="0" w:after="120" w:line="276" w:lineRule="auto"/>
      </w:pPr>
      <w:r>
        <w:rPr>
          <w:rFonts w:ascii="Times New Roman" w:hAnsi="Times New Roman" w:cs="Times New Roman"/>
          <w:b w:val="0"/>
          <w:i w:val="0"/>
          <w:u w:val="none"/>
        </w:rPr>
        <w:t>This is where contract terms and the schedule quietly disagree. If they differ we will be held to the longer period, because we agreed to both.</w:t>
      </w:r>
    </w:p>
    <w:p>
      <w:pPr>
        <w:spacing w:before="200" w:after="80" w:line="276" w:lineRule="auto"/>
      </w:pPr>
      <w:r>
        <w:rPr>
          <w:rFonts w:ascii="Times New Roman" w:hAnsi="Times New Roman" w:cs="Times New Roman"/>
          <w:b/>
          <w:i w:val="0"/>
          <w:caps/>
          <w:sz w:val="24"/>
          <w:u w:val="none"/>
        </w:rPr>
        <w:t>7. Confidentiality</w:t>
      </w:r>
    </w:p>
    <w:p>
      <w:pPr>
        <w:spacing w:before="0" w:after="120" w:line="276" w:lineRule="auto"/>
      </w:pPr>
      <w:r>
        <w:rPr>
          <w:rFonts w:ascii="Times New Roman" w:hAnsi="Times New Roman" w:cs="Times New Roman"/>
          <w:b w:val="0"/>
          <w:i w:val="0"/>
          <w:u w:val="none"/>
        </w:rPr>
        <w:t>Confidentiality must cover patient-identifiable data and must bind everyone the vendor brings into contact with the data, including affiliates.</w:t>
      </w:r>
    </w:p>
    <w:p>
      <w:pPr>
        <w:spacing w:before="120" w:after="60" w:line="276" w:lineRule="auto"/>
      </w:pPr>
      <w:r>
        <w:rPr>
          <w:rFonts w:ascii="Times New Roman" w:hAnsi="Times New Roman" w:cs="Times New Roman"/>
          <w:b/>
          <w:i w:val="0"/>
          <w:sz w:val="21"/>
          <w:u w:val="none"/>
        </w:rPr>
        <w:t>Confidentiality and patient confidentiality</w:t>
      </w:r>
    </w:p>
    <w:p>
      <w:pPr>
        <w:spacing w:before="0" w:after="120" w:line="276" w:lineRule="auto"/>
      </w:pPr>
      <w:r>
        <w:rPr>
          <w:rFonts w:ascii="Times New Roman" w:hAnsi="Times New Roman" w:cs="Times New Roman"/>
          <w:b w:val="0"/>
          <w:i w:val="0"/>
          <w:u w:val="none"/>
        </w:rPr>
        <w:t>Our position: Mutual confidentiality for five years from disclosure, with perpetual protection for patient-identifiable data, patient information and trade secrets. The obligation binds the vendor's personnel, and binds anyone the vendor brings into contact with the data.</w:t>
      </w:r>
    </w:p>
    <w:p>
      <w:pPr>
        <w:spacing w:before="0" w:after="120" w:line="276" w:lineRule="auto"/>
      </w:pPr>
      <w:r>
        <w:rPr>
          <w:rFonts w:ascii="Times New Roman" w:hAnsi="Times New Roman" w:cs="Times New Roman"/>
          <w:b w:val="0"/>
          <w:i w:val="0"/>
          <w:u w:val="none"/>
        </w:rPr>
        <w:t>We can accept: three years for commercial information, with perpetual protection for patient-identifiable data and trade secrets.</w:t>
      </w:r>
    </w:p>
    <w:p>
      <w:pPr>
        <w:spacing w:before="0" w:after="120" w:line="276" w:lineRule="auto"/>
      </w:pPr>
      <w:r>
        <w:rPr>
          <w:rFonts w:ascii="Times New Roman" w:hAnsi="Times New Roman" w:cs="Times New Roman"/>
          <w:b w:val="0"/>
          <w:i w:val="0"/>
          <w:u w:val="none"/>
        </w:rPr>
        <w:t>We do not cross this line: Any confidentiality term that does not cover patient-identifiable data, or any term that permits disclosure to a vendor's affiliates without an equivalent obligation flowing down.</w:t>
      </w:r>
    </w:p>
    <w:p>
      <w:pPr>
        <w:spacing w:before="0" w:after="120" w:line="276" w:lineRule="auto"/>
      </w:pPr>
      <w:r>
        <w:rPr>
          <w:rFonts w:ascii="Times New Roman" w:hAnsi="Times New Roman" w:cs="Times New Roman"/>
          <w:b w:val="0"/>
          <w:i w:val="0"/>
          <w:u w:val="none"/>
        </w:rPr>
        <w:t>Check that the confidentiality clause and the security clause do the same work. A contract can be entirely secure and still permit a commercial conversation about our data, because the confidentiality clause was drafted to cover commercial information only.</w:t>
      </w:r>
    </w:p>
    <w:p>
      <w:pPr>
        <w:spacing w:before="200" w:after="80" w:line="276" w:lineRule="auto"/>
      </w:pPr>
      <w:r>
        <w:rPr>
          <w:rFonts w:ascii="Times New Roman" w:hAnsi="Times New Roman" w:cs="Times New Roman"/>
          <w:b/>
          <w:i w:val="0"/>
          <w:caps/>
          <w:sz w:val="24"/>
          <w:u w:val="none"/>
        </w:rPr>
        <w:t>8. Liability, indemnities and the problem of clinical harm</w:t>
      </w:r>
    </w:p>
    <w:p>
      <w:pPr>
        <w:spacing w:before="120" w:after="60" w:line="276" w:lineRule="auto"/>
      </w:pPr>
      <w:r>
        <w:rPr>
          <w:rFonts w:ascii="Times New Roman" w:hAnsi="Times New Roman" w:cs="Times New Roman"/>
          <w:b/>
          <w:i w:val="0"/>
          <w:sz w:val="21"/>
          <w:u w:val="none"/>
        </w:rPr>
        <w:t>Liability and patient harm</w:t>
      </w:r>
    </w:p>
    <w:p>
      <w:pPr>
        <w:spacing w:before="0" w:after="120" w:line="276" w:lineRule="auto"/>
      </w:pPr>
      <w:r>
        <w:rPr>
          <w:rFonts w:ascii="Times New Roman" w:hAnsi="Times New Roman" w:cs="Times New Roman"/>
          <w:b w:val="0"/>
          <w:i w:val="0"/>
          <w:u w:val="none"/>
        </w:rPr>
        <w:t>Our position: The vendor's aggregate liability is capped at the greater of the fees paid in the preceding 12 months and GBP 5,000,000. That cap does not apply to the vendor's indemnity obligations, to breach of confidentiality, or to breach of the data protection terms.</w:t>
      </w:r>
    </w:p>
    <w:p>
      <w:pPr>
        <w:spacing w:before="0" w:after="120" w:line="276" w:lineRule="auto"/>
      </w:pPr>
      <w:r>
        <w:rPr>
          <w:rFonts w:ascii="Times New Roman" w:hAnsi="Times New Roman" w:cs="Times New Roman"/>
          <w:b w:val="0"/>
          <w:i w:val="0"/>
          <w:u w:val="none"/>
        </w:rPr>
        <w:t>We can accept: a cap of the fees paid in the preceding 24 months where the contract value is below GBP 1,000,000.</w:t>
      </w:r>
    </w:p>
    <w:p>
      <w:pPr>
        <w:spacing w:before="0" w:after="120" w:line="276" w:lineRule="auto"/>
      </w:pPr>
      <w:r>
        <w:rPr>
          <w:rFonts w:ascii="Times New Roman" w:hAnsi="Times New Roman" w:cs="Times New Roman"/>
          <w:b w:val="0"/>
          <w:i w:val="0"/>
          <w:u w:val="none"/>
        </w:rPr>
        <w:t>We do not cross this line: Any cap on the vendor's liability for clinical harm caused by a defective output, and any liability cap that limits the vendor's obligation to pay for recalling or correcting outputs that have already influenced patient care.</w:t>
      </w:r>
    </w:p>
    <w:p>
      <w:pPr>
        <w:spacing w:before="0" w:after="120" w:line="276" w:lineRule="auto"/>
      </w:pPr>
      <w:r>
        <w:rPr>
          <w:rFonts w:ascii="Times New Roman" w:hAnsi="Times New Roman" w:cs="Times New Roman"/>
          <w:b w:val="0"/>
          <w:i w:val="0"/>
          <w:u w:val="none"/>
        </w:rPr>
        <w:t>We cannot quantify clinical harm in advance and we cannot accept a cap that assumes we can. Where a vendor insists on a cap that covers clinical harm, the answer is an uncapped indemnity for death and personal injury caused by negligence, and nothing else.</w:t>
      </w:r>
    </w:p>
    <w:p>
      <w:pPr>
        <w:spacing w:before="120" w:after="60" w:line="276" w:lineRule="auto"/>
      </w:pPr>
      <w:r>
        <w:rPr>
          <w:rFonts w:ascii="Times New Roman" w:hAnsi="Times New Roman" w:cs="Times New Roman"/>
          <w:b/>
          <w:i w:val="0"/>
          <w:sz w:val="21"/>
          <w:u w:val="none"/>
        </w:rPr>
        <w:t>Indemnities</w:t>
      </w:r>
    </w:p>
    <w:p>
      <w:pPr>
        <w:spacing w:before="0" w:after="120" w:line="276" w:lineRule="auto"/>
      </w:pPr>
      <w:r>
        <w:rPr>
          <w:rFonts w:ascii="Times New Roman" w:hAnsi="Times New Roman" w:cs="Times New Roman"/>
          <w:b w:val="0"/>
          <w:i w:val="0"/>
          <w:u w:val="none"/>
        </w:rPr>
        <w:t>Our position: The vendor indemnifies us against third-party claims arising from its breach of the data protection terms, from an infringement claim in the software, and from death or personal injury caused by its negligence in operating the services. We give no indemnity except for our own infringement of the vendor's intellectual property in materials we supply to it.</w:t>
      </w:r>
    </w:p>
    <w:p>
      <w:pPr>
        <w:spacing w:before="0" w:after="120" w:line="276" w:lineRule="auto"/>
      </w:pPr>
      <w:r>
        <w:rPr>
          <w:rFonts w:ascii="Times New Roman" w:hAnsi="Times New Roman" w:cs="Times New Roman"/>
          <w:b w:val="0"/>
          <w:i w:val="0"/>
          <w:u w:val="none"/>
        </w:rPr>
        <w:t>We can accept: the vendor's data protection and IP indemnities with no clinical indemnity, provided the clinical exposure is instead carved out of the liability cap.</w:t>
      </w:r>
    </w:p>
    <w:p>
      <w:pPr>
        <w:spacing w:before="0" w:after="120" w:line="276" w:lineRule="auto"/>
      </w:pPr>
      <w:r>
        <w:rPr>
          <w:rFonts w:ascii="Times New Roman" w:hAnsi="Times New Roman" w:cs="Times New Roman"/>
          <w:b w:val="0"/>
          <w:i w:val="0"/>
          <w:u w:val="none"/>
        </w:rPr>
        <w:t>We do not cross this line: Any indemnity from us that covers the vendor's operation of the services, its security, or its compliance with law.</w:t>
      </w:r>
    </w:p>
    <w:p>
      <w:pPr>
        <w:spacing w:before="0" w:after="120" w:line="276" w:lineRule="auto"/>
      </w:pPr>
      <w:r>
        <w:rPr>
          <w:rFonts w:ascii="Times New Roman" w:hAnsi="Times New Roman" w:cs="Times New Roman"/>
          <w:b w:val="0"/>
          <w:i w:val="0"/>
          <w:u w:val="none"/>
        </w:rPr>
        <w:t>Where the clinical indemnity cannot be agreed, the carve-out from the liability cap is not an equivalent substitute unless it is drafted as a separate uncapped obligation. Check that the carve-out is an obligation and not merely a statement about the cap.</w:t>
      </w:r>
    </w:p>
    <w:p>
      <w:pPr>
        <w:spacing w:before="200" w:after="80" w:line="276" w:lineRule="auto"/>
      </w:pPr>
      <w:r>
        <w:rPr>
          <w:rFonts w:ascii="Times New Roman" w:hAnsi="Times New Roman" w:cs="Times New Roman"/>
          <w:b/>
          <w:i w:val="0"/>
          <w:caps/>
          <w:sz w:val="24"/>
          <w:u w:val="none"/>
        </w:rPr>
        <w:t>9. The software licence</w:t>
      </w:r>
    </w:p>
    <w:p>
      <w:pPr>
        <w:spacing w:before="120" w:after="60" w:line="276" w:lineRule="auto"/>
      </w:pPr>
      <w:r>
        <w:rPr>
          <w:rFonts w:ascii="Times New Roman" w:hAnsi="Times New Roman" w:cs="Times New Roman"/>
          <w:b/>
          <w:i w:val="0"/>
          <w:sz w:val="21"/>
          <w:u w:val="none"/>
        </w:rPr>
        <w:t>Software licence: term and nature of the licence</w:t>
      </w:r>
    </w:p>
    <w:p>
      <w:pPr>
        <w:spacing w:before="0" w:after="120" w:line="276" w:lineRule="auto"/>
      </w:pPr>
      <w:r>
        <w:rPr>
          <w:rFonts w:ascii="Times New Roman" w:hAnsi="Times New Roman" w:cs="Times New Roman"/>
          <w:b w:val="0"/>
          <w:i w:val="0"/>
          <w:u w:val="none"/>
        </w:rPr>
        <w:t>Our position: Where the software runs on our own infrastructure, we take a perpetual, non-exclusive, non-transferable licence, with no right to terminate for vendor insolvency and no obligation to pay maintenance after the licence term ends.</w:t>
      </w:r>
    </w:p>
    <w:p>
      <w:pPr>
        <w:spacing w:before="0" w:after="120" w:line="276" w:lineRule="auto"/>
      </w:pPr>
      <w:r>
        <w:rPr>
          <w:rFonts w:ascii="Times New Roman" w:hAnsi="Times New Roman" w:cs="Times New Roman"/>
          <w:b w:val="0"/>
          <w:i w:val="0"/>
          <w:u w:val="none"/>
        </w:rPr>
        <w:t>We can accept: a term licence of five years with automatic renewal, provided renewal does not exceed the price then current and we may terminate on 90 days' notice.</w:t>
      </w:r>
    </w:p>
    <w:p>
      <w:pPr>
        <w:spacing w:before="0" w:after="120" w:line="276" w:lineRule="auto"/>
      </w:pPr>
      <w:r>
        <w:rPr>
          <w:rFonts w:ascii="Times New Roman" w:hAnsi="Times New Roman" w:cs="Times New Roman"/>
          <w:b w:val="0"/>
          <w:i w:val="0"/>
          <w:u w:val="none"/>
        </w:rPr>
        <w:t>We do not cross this line: Any term licence with no right to terminate for vendor insolvency, and any licence that terminates if the vendor is acquired by a competitor.</w:t>
      </w:r>
    </w:p>
    <w:p>
      <w:pPr>
        <w:spacing w:before="0" w:after="120" w:line="276" w:lineRule="auto"/>
      </w:pPr>
      <w:r>
        <w:rPr>
          <w:rFonts w:ascii="Times New Roman" w:hAnsi="Times New Roman" w:cs="Times New Roman"/>
          <w:b w:val="0"/>
          <w:i w:val="0"/>
          <w:u w:val="none"/>
        </w:rPr>
        <w:t>On-premises software that we host is the only part of our estate that survives the vendor failing. That is worth a permanent licence, and a much better answer than negotiating exit assistance from a business that no longer exists.</w:t>
      </w:r>
    </w:p>
    <w:p>
      <w:pPr>
        <w:spacing w:before="120" w:after="60" w:line="276" w:lineRule="auto"/>
      </w:pPr>
      <w:r>
        <w:rPr>
          <w:rFonts w:ascii="Times New Roman" w:hAnsi="Times New Roman" w:cs="Times New Roman"/>
          <w:b/>
          <w:i w:val="0"/>
          <w:sz w:val="21"/>
          <w:u w:val="none"/>
        </w:rPr>
        <w:t>Software licence: scope and permitted use</w:t>
      </w:r>
    </w:p>
    <w:p>
      <w:pPr>
        <w:spacing w:before="0" w:after="120" w:line="276" w:lineRule="auto"/>
      </w:pPr>
      <w:r>
        <w:rPr>
          <w:rFonts w:ascii="Times New Roman" w:hAnsi="Times New Roman" w:cs="Times New Roman"/>
          <w:b w:val="0"/>
          <w:i w:val="0"/>
          <w:u w:val="none"/>
        </w:rPr>
        <w:t>Our position: The licence permits use for our internal business purposes, including provision of outputs to the NHS bodies and research institutions with which we contract. It permits our contractors to use the software on our behalf under written obligations no less protective. It does not permit use to develop a competing product.</w:t>
      </w:r>
    </w:p>
    <w:p>
      <w:pPr>
        <w:spacing w:before="0" w:after="120" w:line="276" w:lineRule="auto"/>
      </w:pPr>
      <w:r>
        <w:rPr>
          <w:rFonts w:ascii="Times New Roman" w:hAnsi="Times New Roman" w:cs="Times New Roman"/>
          <w:b w:val="0"/>
          <w:i w:val="0"/>
          <w:u w:val="none"/>
        </w:rPr>
        <w:t>We can accept: a named-user restriction where the software is not licence-key controlled, with a definition of named user in the schedule.</w:t>
      </w:r>
    </w:p>
    <w:p>
      <w:pPr>
        <w:spacing w:before="0" w:after="120" w:line="276" w:lineRule="auto"/>
      </w:pPr>
      <w:r>
        <w:rPr>
          <w:rFonts w:ascii="Times New Roman" w:hAnsi="Times New Roman" w:cs="Times New Roman"/>
          <w:b w:val="0"/>
          <w:i w:val="0"/>
          <w:u w:val="none"/>
        </w:rPr>
        <w:t>We do not cross this line: Any licence that permits use for a competing service, or that restricts our provision of outputs to our own customers beyond what our regulator requires.</w:t>
      </w:r>
    </w:p>
    <w:p>
      <w:pPr>
        <w:spacing w:before="0" w:after="120" w:line="276" w:lineRule="auto"/>
      </w:pPr>
      <w:r>
        <w:rPr>
          <w:rFonts w:ascii="Times New Roman" w:hAnsi="Times New Roman" w:cs="Times New Roman"/>
          <w:b w:val="0"/>
          <w:i w:val="0"/>
          <w:u w:val="none"/>
        </w:rPr>
        <w:t>We are a business-to-business provider. If the licence restricts who we can give outputs to, we cannot use the software. Read the permitted use against our commercial model, not against how we use it today.</w:t>
      </w:r>
    </w:p>
    <w:p>
      <w:pPr>
        <w:spacing w:before="200" w:after="80" w:line="276" w:lineRule="auto"/>
      </w:pPr>
      <w:r>
        <w:rPr>
          <w:rFonts w:ascii="Times New Roman" w:hAnsi="Times New Roman" w:cs="Times New Roman"/>
          <w:b/>
          <w:i w:val="0"/>
          <w:caps/>
          <w:sz w:val="24"/>
          <w:u w:val="none"/>
        </w:rPr>
        <w:t>10. Warranty and support</w:t>
      </w:r>
    </w:p>
    <w:p>
      <w:pPr>
        <w:spacing w:before="0" w:after="120" w:line="276" w:lineRule="auto"/>
      </w:pPr>
      <w:r>
        <w:rPr>
          <w:rFonts w:ascii="Times New Roman" w:hAnsi="Times New Roman" w:cs="Times New Roman"/>
          <w:b w:val="0"/>
          <w:i w:val="0"/>
          <w:u w:val="none"/>
        </w:rPr>
        <w:t>A documentation warranty with resolution times that come from the vendor's own engineering commitments, not from the sales document.</w:t>
      </w:r>
    </w:p>
    <w:p>
      <w:pPr>
        <w:spacing w:before="120" w:after="60" w:line="276" w:lineRule="auto"/>
      </w:pPr>
      <w:r>
        <w:rPr>
          <w:rFonts w:ascii="Times New Roman" w:hAnsi="Times New Roman" w:cs="Times New Roman"/>
          <w:b/>
          <w:i w:val="0"/>
          <w:sz w:val="21"/>
          <w:u w:val="none"/>
        </w:rPr>
        <w:t>Warranty and support</w:t>
      </w:r>
    </w:p>
    <w:p>
      <w:pPr>
        <w:spacing w:before="0" w:after="120" w:line="276" w:lineRule="auto"/>
      </w:pPr>
      <w:r>
        <w:rPr>
          <w:rFonts w:ascii="Times New Roman" w:hAnsi="Times New Roman" w:cs="Times New Roman"/>
          <w:b w:val="0"/>
          <w:i w:val="0"/>
          <w:u w:val="none"/>
        </w:rPr>
        <w:t>Our position: The software performs in all material respects in accordance with its documentation. The vendor corrects a defect within the severity times set out in the support schedule, and patches security vulnerabilities within 30 days of release for critical and 90 days for high severity. We may terminate and refund where a critical defect is not fixed within 60 days.</w:t>
      </w:r>
    </w:p>
    <w:p>
      <w:pPr>
        <w:spacing w:before="0" w:after="120" w:line="276" w:lineRule="auto"/>
      </w:pPr>
      <w:r>
        <w:rPr>
          <w:rFonts w:ascii="Times New Roman" w:hAnsi="Times New Roman" w:cs="Times New Roman"/>
          <w:b w:val="0"/>
          <w:i w:val="0"/>
          <w:u w:val="none"/>
        </w:rPr>
        <w:t>We can accept: 45 days for critical and 120 days for high severity, keeping the termination right for an unfixed critical defect.</w:t>
      </w:r>
    </w:p>
    <w:p>
      <w:pPr>
        <w:spacing w:before="0" w:after="120" w:line="276" w:lineRule="auto"/>
      </w:pPr>
      <w:r>
        <w:rPr>
          <w:rFonts w:ascii="Times New Roman" w:hAnsi="Times New Roman" w:cs="Times New Roman"/>
          <w:b w:val="0"/>
          <w:i w:val="0"/>
          <w:u w:val="none"/>
        </w:rPr>
        <w:t>We do not cross this line: Any warranty that the software will meet a particular outcome, that it is free from defects, or any support commitment with no stated response or resolution time.</w:t>
      </w:r>
    </w:p>
    <w:p>
      <w:pPr>
        <w:spacing w:before="0" w:after="120" w:line="276" w:lineRule="auto"/>
      </w:pPr>
      <w:r>
        <w:rPr>
          <w:rFonts w:ascii="Times New Roman" w:hAnsi="Times New Roman" w:cs="Times New Roman"/>
          <w:b w:val="0"/>
          <w:i w:val="0"/>
          <w:u w:val="none"/>
        </w:rPr>
        <w:t>For anything that produces clinical or operational outputs the resolution times matter more than the warranty. Ask what the vendor's engineering team actually commits to internally, because that is what we get.</w:t>
      </w:r>
    </w:p>
    <w:p>
      <w:pPr>
        <w:spacing w:before="200" w:after="80" w:line="276" w:lineRule="auto"/>
      </w:pPr>
      <w:r>
        <w:rPr>
          <w:rFonts w:ascii="Times New Roman" w:hAnsi="Times New Roman" w:cs="Times New Roman"/>
          <w:b/>
          <w:i w:val="0"/>
          <w:caps/>
          <w:sz w:val="24"/>
          <w:u w:val="none"/>
        </w:rPr>
        <w:t>11. Clinical safety</w:t>
      </w:r>
    </w:p>
    <w:p>
      <w:pPr>
        <w:spacing w:before="120" w:after="60" w:line="276" w:lineRule="auto"/>
      </w:pPr>
      <w:r>
        <w:rPr>
          <w:rFonts w:ascii="Times New Roman" w:hAnsi="Times New Roman" w:cs="Times New Roman"/>
          <w:b/>
          <w:i w:val="0"/>
          <w:sz w:val="21"/>
          <w:u w:val="none"/>
        </w:rPr>
        <w:t>Clinical safety and incident escalation</w:t>
      </w:r>
    </w:p>
    <w:p>
      <w:pPr>
        <w:spacing w:before="0" w:after="120" w:line="276" w:lineRule="auto"/>
      </w:pPr>
      <w:r>
        <w:rPr>
          <w:rFonts w:ascii="Times New Roman" w:hAnsi="Times New Roman" w:cs="Times New Roman"/>
          <w:b w:val="0"/>
          <w:i w:val="0"/>
          <w:u w:val="none"/>
        </w:rPr>
        <w:t>Our position: The vendor notifies us immediately, and in any event within 4 hours, of any incident that has caused or may have caused a clinically significant output to be used or to be available for use. Both parties follow their own incident management procedures for clinical safety incidents and data protection incidents in parallel.</w:t>
      </w:r>
    </w:p>
    <w:p>
      <w:pPr>
        <w:spacing w:before="0" w:after="120" w:line="276" w:lineRule="auto"/>
      </w:pPr>
      <w:r>
        <w:rPr>
          <w:rFonts w:ascii="Times New Roman" w:hAnsi="Times New Roman" w:cs="Times New Roman"/>
          <w:b w:val="0"/>
          <w:i w:val="0"/>
          <w:u w:val="none"/>
        </w:rPr>
        <w:t>We can accept: notification within 8 hours, with immediate notification where a patient has been affected.</w:t>
      </w:r>
    </w:p>
    <w:p>
      <w:pPr>
        <w:spacing w:before="0" w:after="120" w:line="276" w:lineRule="auto"/>
      </w:pPr>
      <w:r>
        <w:rPr>
          <w:rFonts w:ascii="Times New Roman" w:hAnsi="Times New Roman" w:cs="Times New Roman"/>
          <w:b w:val="0"/>
          <w:i w:val="0"/>
          <w:u w:val="none"/>
        </w:rPr>
        <w:t>We do not cross this line: Any term that routes safety incidents solely through the support channel with a response time expressed in business days.</w:t>
      </w:r>
    </w:p>
    <w:p>
      <w:pPr>
        <w:spacing w:before="0" w:after="120" w:line="276" w:lineRule="auto"/>
      </w:pPr>
      <w:r>
        <w:rPr>
          <w:rFonts w:ascii="Times New Roman" w:hAnsi="Times New Roman" w:cs="Times New Roman"/>
          <w:b w:val="0"/>
          <w:i w:val="0"/>
          <w:u w:val="none"/>
        </w:rPr>
        <w:t>Four hours is unusually tight and vendors will resist it. It is justified because the first hours after a bad output are the hours in which we can still stop it being used. If a vendor will not do four hours, twelve is the floor.</w:t>
      </w:r>
    </w:p>
    <w:p>
      <w:pPr>
        <w:spacing w:before="200" w:after="80" w:line="276" w:lineRule="auto"/>
      </w:pPr>
      <w:r>
        <w:rPr>
          <w:rFonts w:ascii="Times New Roman" w:hAnsi="Times New Roman" w:cs="Times New Roman"/>
          <w:b/>
          <w:i w:val="0"/>
          <w:caps/>
          <w:sz w:val="24"/>
          <w:u w:val="none"/>
        </w:rPr>
        <w:t>12. Continuity</w:t>
      </w:r>
    </w:p>
    <w:p>
      <w:pPr>
        <w:spacing w:before="120" w:after="60" w:line="276" w:lineRule="auto"/>
      </w:pPr>
      <w:r>
        <w:rPr>
          <w:rFonts w:ascii="Times New Roman" w:hAnsi="Times New Roman" w:cs="Times New Roman"/>
          <w:b/>
          <w:i w:val="0"/>
          <w:sz w:val="21"/>
          <w:u w:val="none"/>
        </w:rPr>
        <w:t>Business continuity</w:t>
      </w:r>
    </w:p>
    <w:p>
      <w:pPr>
        <w:spacing w:before="0" w:after="120" w:line="276" w:lineRule="auto"/>
      </w:pPr>
      <w:r>
        <w:rPr>
          <w:rFonts w:ascii="Times New Roman" w:hAnsi="Times New Roman" w:cs="Times New Roman"/>
          <w:b w:val="0"/>
          <w:i w:val="0"/>
          <w:u w:val="none"/>
        </w:rPr>
        <w:t>Our position: The vendor maintains and tests a business continuity and disaster recovery plan at least annually, with a recovery time objective of no more than 8 hours and a recovery point objective of no more than 1 hour for production systems. The vendor notifies us within 2 hours of any interruption expected to last more than 4 hours.</w:t>
      </w:r>
    </w:p>
    <w:p>
      <w:pPr>
        <w:spacing w:before="0" w:after="120" w:line="276" w:lineRule="auto"/>
      </w:pPr>
      <w:r>
        <w:rPr>
          <w:rFonts w:ascii="Times New Roman" w:hAnsi="Times New Roman" w:cs="Times New Roman"/>
          <w:b w:val="0"/>
          <w:i w:val="0"/>
          <w:u w:val="none"/>
        </w:rPr>
        <w:t>We can accept: 24 hours recovery time and 4 hours recovery point, keeping the notification commitment.</w:t>
      </w:r>
    </w:p>
    <w:p>
      <w:pPr>
        <w:spacing w:before="0" w:after="120" w:line="276" w:lineRule="auto"/>
      </w:pPr>
      <w:r>
        <w:rPr>
          <w:rFonts w:ascii="Times New Roman" w:hAnsi="Times New Roman" w:cs="Times New Roman"/>
          <w:b w:val="0"/>
          <w:i w:val="0"/>
          <w:u w:val="none"/>
        </w:rPr>
        <w:t>We do not cross this line: No recovery objectives at all, and no obligation to notify us of an interruption.</w:t>
      </w:r>
    </w:p>
    <w:p>
      <w:pPr>
        <w:spacing w:before="0" w:after="120" w:line="276" w:lineRule="auto"/>
      </w:pPr>
      <w:r>
        <w:rPr>
          <w:rFonts w:ascii="Times New Roman" w:hAnsi="Times New Roman" w:cs="Times New Roman"/>
          <w:b w:val="0"/>
          <w:i w:val="0"/>
          <w:u w:val="none"/>
        </w:rPr>
        <w:t>Our own customers ask us for this. We cannot answer a hospital trust's continuity questionnaire without a continuity position for each material supplier, and this is the clause that produces one.</w:t>
      </w:r>
    </w:p>
    <w:p>
      <w:pPr>
        <w:spacing w:before="200" w:after="80" w:line="276" w:lineRule="auto"/>
      </w:pPr>
      <w:r>
        <w:rPr>
          <w:rFonts w:ascii="Times New Roman" w:hAnsi="Times New Roman" w:cs="Times New Roman"/>
          <w:b/>
          <w:i w:val="0"/>
          <w:caps/>
          <w:sz w:val="24"/>
          <w:u w:val="none"/>
        </w:rPr>
        <w:t>13. Leaving</w:t>
      </w:r>
    </w:p>
    <w:p>
      <w:pPr>
        <w:spacing w:before="120" w:after="60" w:line="276" w:lineRule="auto"/>
      </w:pPr>
      <w:r>
        <w:rPr>
          <w:rFonts w:ascii="Times New Roman" w:hAnsi="Times New Roman" w:cs="Times New Roman"/>
          <w:b/>
          <w:i w:val="0"/>
          <w:sz w:val="21"/>
          <w:u w:val="none"/>
        </w:rPr>
        <w:t>Exit, portability and transition</w:t>
      </w:r>
    </w:p>
    <w:p>
      <w:pPr>
        <w:spacing w:before="0" w:after="120" w:line="276" w:lineRule="auto"/>
      </w:pPr>
      <w:r>
        <w:rPr>
          <w:rFonts w:ascii="Times New Roman" w:hAnsi="Times New Roman" w:cs="Times New Roman"/>
          <w:b w:val="0"/>
          <w:i w:val="0"/>
          <w:u w:val="none"/>
        </w:rPr>
        <w:t>Our position: We may export outputs and configurations in a documented, structured, machine-readable format at any time, and for 12 months after termination, supported by 80 hours of transition assistance included in the fees. Where the licence is perpetual and we host the software ourselves, the exit provisions apply only to any hosted component and to the vendor's remote support.</w:t>
      </w:r>
    </w:p>
    <w:p>
      <w:pPr>
        <w:spacing w:before="0" w:after="120" w:line="276" w:lineRule="auto"/>
      </w:pPr>
      <w:r>
        <w:rPr>
          <w:rFonts w:ascii="Times New Roman" w:hAnsi="Times New Roman" w:cs="Times New Roman"/>
          <w:b w:val="0"/>
          <w:i w:val="0"/>
          <w:u w:val="none"/>
        </w:rPr>
        <w:t>We can accept: 6 months of free export with 40 hours of transition assistance.</w:t>
      </w:r>
    </w:p>
    <w:p>
      <w:pPr>
        <w:spacing w:before="0" w:after="120" w:line="276" w:lineRule="auto"/>
      </w:pPr>
      <w:r>
        <w:rPr>
          <w:rFonts w:ascii="Times New Roman" w:hAnsi="Times New Roman" w:cs="Times New Roman"/>
          <w:b w:val="0"/>
          <w:i w:val="0"/>
          <w:u w:val="none"/>
        </w:rPr>
        <w:t>We do not cross this line: Any export format that requires the vendor to run a bespoke project, and any requirement that we delete data and return it only at the vendor's request.</w:t>
      </w:r>
    </w:p>
    <w:p>
      <w:pPr>
        <w:spacing w:before="0" w:after="120" w:line="276" w:lineRule="auto"/>
      </w:pPr>
      <w:r>
        <w:rPr>
          <w:rFonts w:ascii="Times New Roman" w:hAnsi="Times New Roman" w:cs="Times New Roman"/>
          <w:b w:val="0"/>
          <w:i w:val="0"/>
          <w:u w:val="none"/>
        </w:rPr>
        <w:t>Ask to see the export before we sign, on our own data, on our own hardware. A documented export format that we have never run is a hypothesis.</w:t>
      </w:r>
    </w:p>
    <w:p>
      <w:pPr>
        <w:spacing w:before="200" w:after="80" w:line="276" w:lineRule="auto"/>
      </w:pPr>
      <w:r>
        <w:rPr>
          <w:rFonts w:ascii="Times New Roman" w:hAnsi="Times New Roman" w:cs="Times New Roman"/>
          <w:b/>
          <w:i w:val="0"/>
          <w:caps/>
          <w:sz w:val="24"/>
          <w:u w:val="none"/>
        </w:rPr>
        <w:t>14. Changes</w:t>
      </w:r>
    </w:p>
    <w:p>
      <w:pPr>
        <w:spacing w:before="120" w:after="60" w:line="276" w:lineRule="auto"/>
      </w:pPr>
      <w:r>
        <w:rPr>
          <w:rFonts w:ascii="Times New Roman" w:hAnsi="Times New Roman" w:cs="Times New Roman"/>
          <w:b/>
          <w:i w:val="0"/>
          <w:sz w:val="21"/>
          <w:u w:val="none"/>
        </w:rPr>
        <w:t>Change control and roadmap</w:t>
      </w:r>
    </w:p>
    <w:p>
      <w:pPr>
        <w:spacing w:before="0" w:after="120" w:line="276" w:lineRule="auto"/>
      </w:pPr>
      <w:r>
        <w:rPr>
          <w:rFonts w:ascii="Times New Roman" w:hAnsi="Times New Roman" w:cs="Times New Roman"/>
          <w:b w:val="0"/>
          <w:i w:val="0"/>
          <w:u w:val="none"/>
        </w:rPr>
        <w:t>Our position: The vendor gives at least 90 days' notice of any change that materially affects integration, interfaces, output format or security architecture, and no change may remove a documented capability during the term without our written agreement, not to be unreasonably withheld.</w:t>
      </w:r>
    </w:p>
    <w:p>
      <w:pPr>
        <w:spacing w:before="0" w:after="120" w:line="276" w:lineRule="auto"/>
      </w:pPr>
      <w:r>
        <w:rPr>
          <w:rFonts w:ascii="Times New Roman" w:hAnsi="Times New Roman" w:cs="Times New Roman"/>
          <w:b w:val="0"/>
          <w:i w:val="0"/>
          <w:u w:val="none"/>
        </w:rPr>
        <w:t>We can accept: 60 days' notice with a change freeze over the annual peak period.</w:t>
      </w:r>
    </w:p>
    <w:p>
      <w:pPr>
        <w:spacing w:before="0" w:after="120" w:line="276" w:lineRule="auto"/>
      </w:pPr>
      <w:r>
        <w:rPr>
          <w:rFonts w:ascii="Times New Roman" w:hAnsi="Times New Roman" w:cs="Times New Roman"/>
          <w:b w:val="0"/>
          <w:i w:val="0"/>
          <w:u w:val="none"/>
        </w:rPr>
        <w:t>We do not cross this line: Any right for the vendor to withdraw or materially change a documented capability on notice only, during the term, where we have integrated around it.</w:t>
      </w:r>
    </w:p>
    <w:p>
      <w:pPr>
        <w:spacing w:before="0" w:after="120" w:line="276" w:lineRule="auto"/>
      </w:pPr>
      <w:r>
        <w:rPr>
          <w:rFonts w:ascii="Times New Roman" w:hAnsi="Times New Roman" w:cs="Times New Roman"/>
          <w:b w:val="0"/>
          <w:i w:val="0"/>
          <w:u w:val="none"/>
        </w:rPr>
        <w:t>We integrate once and live with it for years. Interface changes are the ones that cost us engineering time, so they get the longest notice rather than the shortest.</w:t>
      </w:r>
    </w:p>
    <w:p>
      <w:pPr>
        <w:spacing w:before="200" w:after="80" w:line="276" w:lineRule="auto"/>
      </w:pPr>
      <w:r>
        <w:rPr>
          <w:rFonts w:ascii="Times New Roman" w:hAnsi="Times New Roman" w:cs="Times New Roman"/>
          <w:b/>
          <w:i w:val="0"/>
          <w:caps/>
          <w:sz w:val="24"/>
          <w:u w:val="none"/>
        </w:rPr>
        <w:t>15. Governing law and the regulator</w:t>
      </w:r>
    </w:p>
    <w:p>
      <w:pPr>
        <w:spacing w:before="120" w:after="60" w:line="276" w:lineRule="auto"/>
      </w:pPr>
      <w:r>
        <w:rPr>
          <w:rFonts w:ascii="Times New Roman" w:hAnsi="Times New Roman" w:cs="Times New Roman"/>
          <w:b/>
          <w:i w:val="0"/>
          <w:sz w:val="21"/>
          <w:u w:val="none"/>
        </w:rPr>
        <w:t>Governing law and regulatory carve-out</w:t>
      </w:r>
    </w:p>
    <w:p>
      <w:pPr>
        <w:spacing w:before="0" w:after="120" w:line="276" w:lineRule="auto"/>
      </w:pPr>
      <w:r>
        <w:rPr>
          <w:rFonts w:ascii="Times New Roman" w:hAnsi="Times New Roman" w:cs="Times New Roman"/>
          <w:b w:val="0"/>
          <w:i w:val="0"/>
          <w:u w:val="none"/>
        </w:rPr>
        <w:t>Our position: Laws of England and Wales, with the exclusive jurisdiction of the courts of England and Wales. Each party retains the right to comply with a regulator's instruction, to disclose to a regulator, and to comply with its own professional and statutory duties, notwithstanding any confidentiality obligation.</w:t>
      </w:r>
    </w:p>
    <w:p>
      <w:pPr>
        <w:spacing w:before="0" w:after="120" w:line="276" w:lineRule="auto"/>
      </w:pPr>
      <w:r>
        <w:rPr>
          <w:rFonts w:ascii="Times New Roman" w:hAnsi="Times New Roman" w:cs="Times New Roman"/>
          <w:b w:val="0"/>
          <w:i w:val="0"/>
          <w:u w:val="none"/>
        </w:rPr>
        <w:t>We can accept: the law and jurisdiction of the Republic of Ireland where the vendor is an Irish entity, with the regulatory carve-out unchanged.</w:t>
      </w:r>
    </w:p>
    <w:p>
      <w:pPr>
        <w:spacing w:before="0" w:after="120" w:line="276" w:lineRule="auto"/>
      </w:pPr>
      <w:r>
        <w:rPr>
          <w:rFonts w:ascii="Times New Roman" w:hAnsi="Times New Roman" w:cs="Times New Roman"/>
          <w:b w:val="0"/>
          <w:i w:val="0"/>
          <w:u w:val="none"/>
        </w:rPr>
        <w:t>We do not cross this line: Any confidentiality obligation that prevents disclosure required by a regulator, or that prevents us from disclosing to a regulator a concern about the vendor itself.</w:t>
      </w:r>
    </w:p>
    <w:p>
      <w:pPr>
        <w:spacing w:before="0" w:after="120" w:line="276" w:lineRule="auto"/>
      </w:pPr>
      <w:r>
        <w:rPr>
          <w:rFonts w:ascii="Times New Roman" w:hAnsi="Times New Roman" w:cs="Times New Roman"/>
          <w:b w:val="0"/>
          <w:i w:val="0"/>
          <w:u w:val="none"/>
        </w:rPr>
        <w:t>The regulatory carve-out is not paranoia in health. We may one day be asked by the regulator what our vendor's security posture is, and the vendor's own confidentiality terms cannot stop us from answering.</w:t>
      </w:r>
    </w:p>
    <w:p>
      <w:pPr>
        <w:spacing w:before="200" w:after="80" w:line="276" w:lineRule="auto"/>
      </w:pPr>
      <w:r>
        <w:rPr>
          <w:rFonts w:ascii="Times New Roman" w:hAnsi="Times New Roman" w:cs="Times New Roman"/>
          <w:b/>
          <w:i w:val="0"/>
          <w:caps/>
          <w:sz w:val="24"/>
          <w:u w:val="none"/>
        </w:rPr>
        <w:t>16. Approval thresholds and escalation</w:t>
      </w:r>
    </w:p>
    <w:p>
      <w:pPr>
        <w:spacing w:before="0" w:after="120" w:line="276" w:lineRule="auto"/>
      </w:pPr>
      <w:r>
        <w:rPr>
          <w:rFonts w:ascii="Times New Roman" w:hAnsi="Times New Roman" w:cs="Times New Roman"/>
          <w:b w:val="0"/>
          <w:i w:val="0"/>
          <w:u w:val="none"/>
        </w:rPr>
        <w:t>No position in this document can be moved by the person who raised the vendor paper. Approval sits with the roles below, and where a line is marked as a walk-away it does not move at all without the Chief Executive Officer.</w:t>
      </w:r>
    </w:p>
    <w:p>
      <w:pPr>
        <w:spacing w:before="0" w:after="120" w:line="276" w:lineRule="auto"/>
        <w:ind w:left="360"/>
      </w:pPr>
      <w:r>
        <w:rPr>
          <w:rFonts w:ascii="Times New Roman" w:hAnsi="Times New Roman" w:cs="Times New Roman"/>
          <w:b w:val="0"/>
          <w:i w:val="0"/>
          <w:u w:val="none"/>
        </w:rPr>
        <w:t>•  Standard position, no concession: prepared by the category buyer, approved by the Head of Legal and Privacy, turnaround 5 business days.</w:t>
      </w:r>
    </w:p>
    <w:p>
      <w:pPr>
        <w:spacing w:before="0" w:after="120" w:line="276" w:lineRule="auto"/>
        <w:ind w:left="360"/>
      </w:pPr>
      <w:r>
        <w:rPr>
          <w:rFonts w:ascii="Times New Roman" w:hAnsi="Times New Roman" w:cs="Times New Roman"/>
          <w:b w:val="0"/>
          <w:i w:val="0"/>
          <w:u w:val="none"/>
        </w:rPr>
        <w:t>•  A stated fallback position: prepared by the category buyer, approved by the Head of Legal and Privacy, turnaround 7 business days.</w:t>
      </w:r>
    </w:p>
    <w:p>
      <w:pPr>
        <w:spacing w:before="0" w:after="120" w:line="276" w:lineRule="auto"/>
        <w:ind w:left="360"/>
      </w:pPr>
      <w:r>
        <w:rPr>
          <w:rFonts w:ascii="Times New Roman" w:hAnsi="Times New Roman" w:cs="Times New Roman"/>
          <w:b w:val="0"/>
          <w:i w:val="0"/>
          <w:u w:val="none"/>
        </w:rPr>
        <w:t>•  Any walk-away line: prepared by the Head of Legal and Privacy, approved by the Chief Executive Officer, turnaround 10 business days.</w:t>
      </w:r>
    </w:p>
    <w:p>
      <w:pPr>
        <w:spacing w:before="0" w:after="120" w:line="276" w:lineRule="auto"/>
        <w:ind w:left="360"/>
      </w:pPr>
      <w:r>
        <w:rPr>
          <w:rFonts w:ascii="Times New Roman" w:hAnsi="Times New Roman" w:cs="Times New Roman"/>
          <w:b w:val="0"/>
          <w:i w:val="0"/>
          <w:u w:val="none"/>
        </w:rPr>
        <w:t>•  Data protection terms in any respect: approved by the Data Protection Officer, turnaround 5 business days, regardless of contract value.</w:t>
      </w:r>
    </w:p>
    <w:p>
      <w:pPr>
        <w:spacing w:before="0" w:after="120" w:line="276" w:lineRule="auto"/>
        <w:ind w:left="360"/>
      </w:pPr>
      <w:r>
        <w:rPr>
          <w:rFonts w:ascii="Times New Roman" w:hAnsi="Times New Roman" w:cs="Times New Roman"/>
          <w:b w:val="0"/>
          <w:i w:val="0"/>
          <w:u w:val="none"/>
        </w:rPr>
        <w:t>•  Clinical safety, warranty or support terms: approved by the Clinical Safety Officer, turnaround 5 business days.</w:t>
      </w:r>
    </w:p>
    <w:p>
      <w:pPr>
        <w:spacing w:before="0" w:after="120" w:line="276" w:lineRule="auto"/>
        <w:ind w:left="360"/>
      </w:pPr>
      <w:r>
        <w:rPr>
          <w:rFonts w:ascii="Times New Roman" w:hAnsi="Times New Roman" w:cs="Times New Roman"/>
          <w:b w:val="0"/>
          <w:i w:val="0"/>
          <w:u w:val="none"/>
        </w:rPr>
        <w:t>•  Security terms, audits and continuity: approved by the Chief Information Security Officer, turnaround 5 business days.</w:t>
      </w:r>
    </w:p>
    <w:p>
      <w:pPr>
        <w:spacing w:before="0" w:after="120" w:line="276" w:lineRule="auto"/>
        <w:ind w:left="360"/>
      </w:pPr>
      <w:r>
        <w:rPr>
          <w:rFonts w:ascii="Times New Roman" w:hAnsi="Times New Roman" w:cs="Times New Roman"/>
          <w:b w:val="0"/>
          <w:i w:val="0"/>
          <w:u w:val="none"/>
        </w:rPr>
        <w:t>•  Governing law outside England, Wales and Ireland: approved by the Chief Executive Officer, turnaround 10 business days.</w:t>
      </w:r>
    </w:p>
    <w:p>
      <w:pPr>
        <w:spacing w:before="0" w:after="120" w:line="276" w:lineRule="auto"/>
        <w:ind w:left="360"/>
      </w:pPr>
      <w:r>
        <w:rPr>
          <w:rFonts w:ascii="Times New Roman" w:hAnsi="Times New Roman" w:cs="Times New Roman"/>
          <w:b w:val="0"/>
          <w:i w:val="0"/>
          <w:u w:val="none"/>
        </w:rPr>
        <w:t>•  Contract value above two million pounds: approved by the Chief Financial Officer, turnaround 10 business days.</w:t>
      </w:r>
    </w:p>
    <w:p>
      <w:pPr>
        <w:spacing w:before="0" w:after="120" w:line="276" w:lineRule="auto"/>
      </w:pPr>
      <w:r>
        <w:rPr>
          <w:rFonts w:ascii="Times New Roman" w:hAnsi="Times New Roman" w:cs="Times New Roman"/>
          <w:b w:val="0"/>
          <w:i w:val="0"/>
          <w:u w:val="none"/>
        </w:rPr>
        <w:t>Where the Chief Executive Officer and the Chief Financial Officer disagree, the position is not moved and the contract is re-papered. There is no value threshold below which data protection approval is not required, and there is not going to be one. The Clinical Safety Officer's approval cannot be given in advance of the specific draft.</w:t>
      </w:r>
    </w:p>
    <w:p>
      <w:pPr>
        <w:spacing w:before="200" w:after="80" w:line="276" w:lineRule="auto"/>
      </w:pPr>
      <w:r>
        <w:rPr>
          <w:rFonts w:ascii="Times New Roman" w:hAnsi="Times New Roman" w:cs="Times New Roman"/>
          <w:b/>
          <w:i w:val="0"/>
          <w:caps/>
          <w:sz w:val="24"/>
          <w:u w:val="none"/>
        </w:rPr>
        <w:t>17. Who to contact</w:t>
      </w:r>
    </w:p>
    <w:p>
      <w:pPr>
        <w:spacing w:before="0" w:after="120" w:line="276" w:lineRule="auto"/>
      </w:pPr>
      <w:r>
        <w:rPr>
          <w:rFonts w:ascii="Times New Roman" w:hAnsi="Times New Roman" w:cs="Times New Roman"/>
          <w:b w:val="0"/>
          <w:i w:val="0"/>
          <w:u w:val="none"/>
        </w:rPr>
        <w:t>Commercial and contract questions go to the Head of Legal and Privacy. Data protection, transfers, sub-processors and retention go to the Data Protection Officer, and nothing in a data processing agreement is signed without them. Security schedules, audits and incident response go to the Chief Information Security Officer. Anything where a product output may have affected a patient goes to the Clinical Safety Officer immediately, on the incident line, out of hours, without waiting for the contract position to be resolved.</w:t>
      </w:r>
    </w:p>
    <w:p>
      <w:pPr>
        <w:spacing w:before="0" w:after="120" w:line="276" w:lineRule="auto"/>
      </w:pPr>
      <w:r>
        <w:rPr>
          <w:rFonts w:ascii="Times New Roman" w:hAnsi="Times New Roman" w:cs="Times New Roman"/>
          <w:b w:val="0"/>
          <w:i w:val="0"/>
          <w:u w:val="none"/>
        </w:rPr>
        <w:t>Where a contract raises a question this document does not answer, write to the Head of Legal and Privacy with the question rather than with a proposed answer. Positions are added at the annual review, and the questions that arrive in between are what the review should be based on.</w:t>
      </w:r>
    </w:p>
    <w:p>
      <w:pPr>
        <w:spacing w:before="200" w:after="80" w:line="276" w:lineRule="auto"/>
      </w:pPr>
      <w:r>
        <w:rPr>
          <w:rFonts w:ascii="Times New Roman" w:hAnsi="Times New Roman" w:cs="Times New Roman"/>
          <w:b/>
          <w:i w:val="0"/>
          <w:caps/>
          <w:sz w:val="24"/>
          <w:u w:val="none"/>
        </w:rPr>
        <w:t>18. Review and version history</w:t>
      </w:r>
    </w:p>
    <w:p>
      <w:pPr>
        <w:spacing w:before="0" w:after="120" w:line="276" w:lineRule="auto"/>
      </w:pPr>
      <w:r>
        <w:rPr>
          <w:rFonts w:ascii="Times New Roman" w:hAnsi="Times New Roman" w:cs="Times New Roman"/>
          <w:b w:val="0"/>
          <w:i w:val="0"/>
          <w:u w:val="none"/>
        </w:rPr>
        <w:t>This document is reviewed annually in May, and out of cycle whenever a regulatory change affects the clinical safety position. Positions that have not been used in a live negotiation for more than two years are reviewed for whether they still reflect how the business works, and are removed where they do not. A playbook that keeps positions nobody needs is harder to use than a shorter one.</w:t>
      </w:r>
    </w:p>
    <w:p>
      <w:pPr>
        <w:spacing w:before="0" w:after="120" w:line="276" w:lineRule="auto"/>
        <w:ind w:left="360"/>
      </w:pPr>
      <w:r>
        <w:rPr>
          <w:rFonts w:ascii="Times New Roman" w:hAnsi="Times New Roman" w:cs="Times New Roman"/>
          <w:b w:val="0"/>
          <w:i w:val="0"/>
          <w:u w:val="none"/>
        </w:rPr>
        <w:t>•  Version 5.0, dated 1 May 2026, owned by the Head of Legal and Privacy: full rewrite. Added the clinical safety position and the perpetual licence position, and separated the confidentiality position from the data protection position.</w:t>
      </w:r>
    </w:p>
    <w:p>
      <w:pPr>
        <w:spacing w:before="0" w:after="120" w:line="276" w:lineRule="auto"/>
        <w:ind w:left="360"/>
      </w:pPr>
      <w:r>
        <w:rPr>
          <w:rFonts w:ascii="Times New Roman" w:hAnsi="Times New Roman" w:cs="Times New Roman"/>
          <w:b w:val="0"/>
          <w:i w:val="0"/>
          <w:u w:val="none"/>
        </w:rPr>
        <w:t>•  Version 4.6, dated 12 November 2025, owned by the Head of Legal and Privacy: added the transfer risk assessment requirement following the Ferranti Pathology review.</w:t>
      </w:r>
    </w:p>
    <w:p>
      <w:pPr>
        <w:spacing w:before="0" w:after="120" w:line="276" w:lineRule="auto"/>
        <w:ind w:left="360"/>
      </w:pPr>
      <w:r>
        <w:rPr>
          <w:rFonts w:ascii="Times New Roman" w:hAnsi="Times New Roman" w:cs="Times New Roman"/>
          <w:b w:val="0"/>
          <w:i w:val="0"/>
          <w:u w:val="none"/>
        </w:rPr>
        <w:t>•  Version 4.5, dated 3 June 2025, owned by the Data Protection Officer: corrected the sub-processor objection position to require an exit, not just a discussion.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b w:val="0"/>
        <w:i w:val="0"/>
        <w:caps/>
        <w:sz w:val="17"/>
        <w:u w:val="none"/>
      </w:rPr>
      <w:t>Nordvale Health Analytics – Internal – Confidential – Negotiation Playbook v5.0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Nordvale Health Analytics – Contract Negotiation Playbook</dc:title>
  <dc:subject/>
  <dc:creator/>
  <cp:keywords/>
  <dc:description/>
  <cp:lastModifiedBy/>
  <cp:revision>1</cp:revision>
  <dcterms:created xsi:type="dcterms:W3CDTF">2026-05-01T09:00:00Z</dcterms:created>
  <dcterms:modified xsi:type="dcterms:W3CDTF">2026-05-01T09:00:00Z</dcterms:modified>
  <cp:category/>
</cp:coreProperties>
</file>