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80"/>
        <w:jc w:val="center"/>
      </w:pPr>
      <w:r>
        <w:rPr>
          <w:rFonts w:ascii="Times New Roman" w:hAnsi="Times New Roman"/>
          <w:b/>
          <w:color w:val="000000"/>
          <w:sz w:val="32"/>
        </w:rPr>
        <w:t>MUTUAL NON-DISCLOSURE AGREEMENT</w:t>
      </w:r>
    </w:p>
    <w:p>
      <w:pPr>
        <w:widowControl/>
        <w:spacing w:after="100" w:line="250" w:lineRule="auto"/>
      </w:pPr>
      <w:r>
        <w:rPr>
          <w:rFonts w:ascii="Times New Roman" w:hAnsi="Times New Roman"/>
          <w:color w:val="242F36"/>
          <w:sz w:val="21"/>
        </w:rPr>
        <w:t>This Mutual Non-Disclosure Agreement (this "Agreement") is entered into by and between Redbarrow Fleet Networks, Inc., a Wisconsin corporation with its principal office at 1128 Harbor Pike, Suite 800, Milwaukee, Wisconsin 53202 ("Redbarrow"), and Lindenwake Route Systems, Inc., a Delaware corporation with its principal office at 5150 Shale Creek Drive, Suite 420, Columbus, Ohio 43220 ("Lindenwake"). The date on which the second Party signs below is the "Effective Date." Redbarrow and Lindenwake are each a "Party" and together the "Parties."</w:t>
      </w:r>
    </w:p>
    <w:p>
      <w:pPr>
        <w:widowControl/>
        <w:spacing w:after="100" w:line="250" w:lineRule="auto"/>
      </w:pPr>
      <w:r>
        <w:rPr>
          <w:rFonts w:ascii="Times New Roman" w:hAnsi="Times New Roman"/>
          <w:color w:val="242F36"/>
          <w:sz w:val="21"/>
        </w:rPr>
        <w:t>The Parties wish to consider a possible integration between Redbarrow's FleetCurrent telematics service and Lindenwake's RoutePilot scheduling service, including technical evaluation in a non-production sandbox and discussions about a possible commercial or distribution arrangement (the "Purpose"). In doing so, either Party may disclose Confidential Information to the other.</w:t>
      </w:r>
    </w:p>
    <w:p>
      <w:pPr>
        <w:keepNext/>
        <w:keepLines/>
        <w:spacing w:before="100" w:after="40"/>
      </w:pPr>
      <w:r>
        <w:rPr>
          <w:rFonts w:ascii="Times New Roman" w:hAnsi="Times New Roman"/>
          <w:b/>
          <w:color w:val="000000"/>
          <w:sz w:val="21"/>
        </w:rPr>
        <w:t>1. Definitions</w:t>
      </w:r>
    </w:p>
    <w:p>
      <w:pPr>
        <w:widowControl/>
        <w:spacing w:after="100" w:line="250" w:lineRule="auto"/>
      </w:pPr>
      <w:r>
        <w:rPr>
          <w:rFonts w:ascii="Times New Roman" w:hAnsi="Times New Roman"/>
          <w:color w:val="242F36"/>
          <w:sz w:val="21"/>
        </w:rPr>
        <w:t>"Affiliate" means an entity that controls, is controlled by, or is under common control with a Party. "Control" means the direct or indirect power to direct the management or policies of an entity, whether through ownership, contract, or otherwise.</w:t>
      </w:r>
    </w:p>
    <w:p>
      <w:pPr>
        <w:widowControl/>
        <w:spacing w:after="100" w:line="250" w:lineRule="auto"/>
      </w:pPr>
      <w:r>
        <w:rPr>
          <w:rFonts w:ascii="Times New Roman" w:hAnsi="Times New Roman"/>
          <w:color w:val="242F36"/>
          <w:sz w:val="21"/>
        </w:rPr>
        <w:t>"Confidential Information" means non-public information disclosed by or on behalf of a Party (the "Disclosing Party") to the other Party (the "Receiving Party") for the Purpose, in any form, including business, financial, customer, product, technical, security, software, API, pricing, roadmap, operational, and test information. It includes the existence and status of the Parties' discussions and the terms of this Agreement. Information is Confidential Information if it is identified as confidential when disclosed or if a reasonable recipient would understand from its nature or the circumstances of disclosure that it is confidential. Oral or visual information whose confidential nature is not apparent when disclosed must be identified as confidential at the time and summarized in writing within twenty (20) business days.</w:t>
      </w:r>
    </w:p>
    <w:p>
      <w:pPr>
        <w:widowControl/>
        <w:spacing w:after="100" w:line="250" w:lineRule="auto"/>
      </w:pPr>
      <w:r>
        <w:rPr>
          <w:rFonts w:ascii="Times New Roman" w:hAnsi="Times New Roman"/>
          <w:color w:val="242F36"/>
          <w:sz w:val="21"/>
        </w:rPr>
        <w:t>"Representatives" means a Party's and its Affiliates' directors, officers, employees, contractors, and professional advisers who need to know Confidential Information for the Purpose.</w:t>
      </w:r>
    </w:p>
    <w:p>
      <w:pPr>
        <w:keepNext/>
        <w:keepLines/>
        <w:spacing w:before="100" w:after="40"/>
      </w:pPr>
      <w:r>
        <w:rPr>
          <w:rFonts w:ascii="Times New Roman" w:hAnsi="Times New Roman"/>
          <w:b/>
          <w:color w:val="000000"/>
          <w:sz w:val="21"/>
        </w:rPr>
        <w:t>2. Use and protection</w:t>
      </w:r>
    </w:p>
    <w:p>
      <w:pPr>
        <w:widowControl/>
        <w:spacing w:after="100" w:line="250" w:lineRule="auto"/>
      </w:pPr>
      <w:r>
        <w:rPr>
          <w:rFonts w:ascii="Times New Roman" w:hAnsi="Times New Roman"/>
          <w:color w:val="242F36"/>
          <w:sz w:val="21"/>
        </w:rPr>
        <w:t>The Receiving Party will use the Disclosing Party's Confidential Information solely for the Purpose and will not disclose it to any other person except as permitted by Section 3 or Section 6. The Receiving Party will protect Confidential Information with at least the same care it uses to protect its own similar information, and in no event with less than reasonable care.</w:t>
      </w:r>
    </w:p>
    <w:p>
      <w:pPr>
        <w:widowControl/>
        <w:spacing w:after="100" w:line="250" w:lineRule="auto"/>
      </w:pPr>
      <w:r>
        <w:rPr>
          <w:rFonts w:ascii="Times New Roman" w:hAnsi="Times New Roman"/>
          <w:color w:val="242F36"/>
          <w:sz w:val="21"/>
        </w:rPr>
        <w:t>The Receiving Party may make copies only as reasonably necessary for the Purpose. It will not reverse engineer, decompile, or disassemble software, devices, samples, or other tangible materials provided as Confidential Information, except to the extent such restriction is prohibited by applicable law or the Disclosing Party expressly authorizes the activity in writing.</w:t>
      </w:r>
    </w:p>
    <w:p>
      <w:pPr>
        <w:keepNext/>
        <w:keepLines/>
        <w:spacing w:before="100" w:after="40"/>
      </w:pPr>
      <w:r>
        <w:rPr>
          <w:rFonts w:ascii="Times New Roman" w:hAnsi="Times New Roman"/>
          <w:b/>
          <w:color w:val="000000"/>
          <w:sz w:val="21"/>
        </w:rPr>
        <w:t>3. Disclosure to Representatives</w:t>
      </w:r>
    </w:p>
    <w:p>
      <w:pPr>
        <w:widowControl/>
        <w:spacing w:after="100" w:line="250" w:lineRule="auto"/>
      </w:pPr>
      <w:r>
        <w:rPr>
          <w:rFonts w:ascii="Times New Roman" w:hAnsi="Times New Roman"/>
          <w:color w:val="242F36"/>
          <w:sz w:val="21"/>
        </w:rPr>
        <w:t>The Receiving Party may disclose Confidential Information to its Representatives who have a need to know for the Purpose, provided they are subject to written, professional, or other duties of confidentiality at least as protective as this Agreement. The Receiving Party is responsible for its Representatives' use and disclosure of Confidential Information as if their acts or omissions were those of the Receiving Party.</w:t>
      </w:r>
    </w:p>
    <w:p>
      <w:pPr>
        <w:keepNext/>
        <w:keepLines/>
        <w:spacing w:before="100" w:after="40"/>
      </w:pPr>
      <w:r>
        <w:rPr>
          <w:rFonts w:ascii="Times New Roman" w:hAnsi="Times New Roman"/>
          <w:b/>
          <w:color w:val="000000"/>
          <w:sz w:val="21"/>
        </w:rPr>
        <w:t>4. Exclusions</w:t>
      </w:r>
    </w:p>
    <w:p>
      <w:pPr>
        <w:keepLines/>
        <w:widowControl/>
        <w:spacing w:after="100" w:line="250" w:lineRule="auto"/>
      </w:pPr>
      <w:r>
        <w:rPr>
          <w:rFonts w:ascii="Times New Roman" w:hAnsi="Times New Roman"/>
          <w:color w:val="242F36"/>
          <w:sz w:val="21"/>
        </w:rPr>
        <w:t>The obligations in this Agreement do not apply to information that the Receiving Party can demonstrate: (a) is or becomes publicly available through no breach of this Agreement by the Receiving Party or its Representatives; (b) was rightfully known to the Receiving Party without restriction before disclosure by the Disclosing Party; (c) is rightfully received from a third party without a duty of confidentiality and without breach of another obligation; or (d) is independently developed by the Receiving Party without use of or reference to the Disclosing Party's Confidential Information.</w:t>
      </w:r>
    </w:p>
    <w:p>
      <w:pPr>
        <w:widowControl/>
        <w:spacing w:after="100" w:line="250" w:lineRule="auto"/>
      </w:pPr>
      <w:r>
        <w:rPr>
          <w:rFonts w:ascii="Times New Roman" w:hAnsi="Times New Roman"/>
          <w:color w:val="242F36"/>
          <w:sz w:val="21"/>
        </w:rPr>
        <w:t>A combination of information will not be excluded merely because individual elements are public or known if the combination itself is not public or known. An exclusion applies only to the portion of information that satisfies the applicable condition.</w:t>
      </w:r>
    </w:p>
    <w:p>
      <w:pPr>
        <w:keepNext/>
        <w:keepLines/>
        <w:spacing w:before="100" w:after="40"/>
      </w:pPr>
      <w:r>
        <w:rPr>
          <w:rFonts w:ascii="Times New Roman" w:hAnsi="Times New Roman"/>
          <w:b/>
          <w:color w:val="000000"/>
          <w:sz w:val="21"/>
        </w:rPr>
        <w:t>5. Evaluation boundaries and data</w:t>
      </w:r>
    </w:p>
    <w:p>
      <w:pPr>
        <w:widowControl/>
        <w:spacing w:after="100" w:line="250" w:lineRule="auto"/>
      </w:pPr>
      <w:r>
        <w:rPr>
          <w:rFonts w:ascii="Times New Roman" w:hAnsi="Times New Roman"/>
          <w:color w:val="242F36"/>
          <w:sz w:val="21"/>
        </w:rPr>
        <w:t>The Purpose permits internal evaluation and planning and a limited test in a non-production sandbox made available by a Party. It does not permit production deployment, use in serving a customer, or access to a production account, production credentials, or live vehicle feed.</w:t>
      </w:r>
    </w:p>
    <w:p>
      <w:pPr>
        <w:widowControl/>
        <w:spacing w:after="100" w:line="250" w:lineRule="auto"/>
      </w:pPr>
      <w:r>
        <w:rPr>
          <w:rFonts w:ascii="Times New Roman" w:hAnsi="Times New Roman"/>
          <w:color w:val="242F36"/>
          <w:sz w:val="21"/>
        </w:rPr>
        <w:t>Neither Party will provide to the other under this Agreement personal information about a driver or passenger, precise location information linked to an individual or vehicle, customer-identifying operational records, or other data that identifies or could reasonably be used to identify a person or customer. Testing may use synthetic, public, or sufficiently aggregated and de-identified data that cannot reasonably be used to identify a person or customer. Any proposed exchange or processing of other personal or customer data requires a separate written agreement addressing the applicable data, privacy, and security requirements before that exchange begins.</w:t>
      </w:r>
    </w:p>
    <w:p>
      <w:pPr>
        <w:widowControl/>
        <w:spacing w:after="100" w:line="250" w:lineRule="auto"/>
      </w:pPr>
      <w:r>
        <w:rPr>
          <w:rFonts w:ascii="Times New Roman" w:hAnsi="Times New Roman"/>
          <w:color w:val="242F36"/>
          <w:sz w:val="21"/>
        </w:rPr>
        <w:t>Neither Party will use the other Party's Confidential Information to train or fine-tune a model for use by unaffiliated third parties or to create a benchmark for public release.</w:t>
      </w:r>
    </w:p>
    <w:p>
      <w:pPr>
        <w:keepNext/>
        <w:keepLines/>
        <w:spacing w:before="100" w:after="40"/>
      </w:pPr>
      <w:r>
        <w:rPr>
          <w:rFonts w:ascii="Times New Roman" w:hAnsi="Times New Roman"/>
          <w:b/>
          <w:color w:val="000000"/>
          <w:sz w:val="21"/>
        </w:rPr>
        <w:t>6. Required disclosure</w:t>
      </w:r>
    </w:p>
    <w:p>
      <w:pPr>
        <w:widowControl/>
        <w:spacing w:after="100" w:line="250" w:lineRule="auto"/>
      </w:pPr>
      <w:r>
        <w:rPr>
          <w:rFonts w:ascii="Times New Roman" w:hAnsi="Times New Roman"/>
          <w:color w:val="242F36"/>
          <w:sz w:val="21"/>
        </w:rPr>
        <w:t>The Receiving Party may disclose Confidential Information to the extent required by applicable law, regulation, court order, or governmental process. To the extent legally permitted, it will give the Disclosing Party prompt notice before disclosure and reasonably cooperate, at the Disclosing Party's expense, with efforts to seek a protective order or other confidential treatment. The Receiving Party will disclose only the portion it is legally required to disclose.</w:t>
      </w:r>
    </w:p>
    <w:p>
      <w:pPr>
        <w:keepNext/>
        <w:keepLines/>
        <w:spacing w:before="100" w:after="40"/>
      </w:pPr>
      <w:r>
        <w:rPr>
          <w:rFonts w:ascii="Times New Roman" w:hAnsi="Times New Roman"/>
          <w:b/>
          <w:color w:val="000000"/>
          <w:sz w:val="21"/>
        </w:rPr>
        <w:t>7. Public statements</w:t>
      </w:r>
    </w:p>
    <w:p>
      <w:pPr>
        <w:widowControl/>
        <w:spacing w:after="100" w:line="250" w:lineRule="auto"/>
      </w:pPr>
      <w:r>
        <w:rPr>
          <w:rFonts w:ascii="Times New Roman" w:hAnsi="Times New Roman"/>
          <w:color w:val="242F36"/>
          <w:sz w:val="21"/>
        </w:rPr>
        <w:t>Neither Party may issue a press release or make a public statement that identifies the other Party or describes the Purpose or the Parties' discussions without the other Party's prior written consent. This restriction does not prevent a disclosure permitted under Section 6 or a Party from sharing this Agreement and the status of the discussions with its Representatives in confidence.</w:t>
      </w:r>
    </w:p>
    <w:p>
      <w:pPr>
        <w:keepNext/>
        <w:keepLines/>
        <w:spacing w:before="100" w:after="40"/>
      </w:pPr>
      <w:r>
        <w:rPr>
          <w:rFonts w:ascii="Times New Roman" w:hAnsi="Times New Roman"/>
          <w:b/>
          <w:color w:val="000000"/>
          <w:sz w:val="21"/>
        </w:rPr>
        <w:t>8. Term and duration of obligations</w:t>
      </w:r>
    </w:p>
    <w:p>
      <w:pPr>
        <w:widowControl/>
        <w:spacing w:after="100" w:line="250" w:lineRule="auto"/>
      </w:pPr>
      <w:r>
        <w:rPr>
          <w:rFonts w:ascii="Times New Roman" w:hAnsi="Times New Roman"/>
          <w:color w:val="242F36"/>
          <w:sz w:val="21"/>
        </w:rPr>
        <w:t>This Agreement begins on the Effective Date and continues for two (2) years unless either Party terminates it earlier by giving thirty (30) days' written notice to the other Party. No new disclosure is covered after the Agreement expires or terminates.</w:t>
      </w:r>
    </w:p>
    <w:p>
      <w:pPr>
        <w:widowControl/>
        <w:spacing w:after="100" w:line="250" w:lineRule="auto"/>
      </w:pPr>
      <w:r>
        <w:rPr>
          <w:rFonts w:ascii="Times New Roman" w:hAnsi="Times New Roman"/>
          <w:color w:val="242F36"/>
          <w:sz w:val="21"/>
        </w:rPr>
        <w:t>For Confidential Information disclosed before expiration or termination, the Receiving Party's obligations under this Agreement continue for four (4) years from the date of disclosure. If Confidential Information constitutes a trade secret under applicable law, those obligations continue for so long as the information remains a trade secret.</w:t>
      </w:r>
    </w:p>
    <w:p>
      <w:pPr>
        <w:keepNext/>
        <w:keepLines/>
        <w:spacing w:before="100" w:after="40"/>
      </w:pPr>
      <w:r>
        <w:rPr>
          <w:rFonts w:ascii="Times New Roman" w:hAnsi="Times New Roman"/>
          <w:b/>
          <w:color w:val="000000"/>
          <w:sz w:val="21"/>
        </w:rPr>
        <w:t>9. Return or destruction</w:t>
      </w:r>
    </w:p>
    <w:p>
      <w:pPr>
        <w:widowControl/>
        <w:spacing w:after="100" w:line="250" w:lineRule="auto"/>
      </w:pPr>
      <w:r>
        <w:rPr>
          <w:rFonts w:ascii="Times New Roman" w:hAnsi="Times New Roman"/>
          <w:color w:val="242F36"/>
          <w:sz w:val="21"/>
        </w:rPr>
        <w:t>Upon the Disclosing Party's written request or the expiration or termination of this Agreement, the Receiving Party will promptly cease use of the Disclosing Party's Confidential Information and, within thirty (30) days, return or destroy it, including copies and materials prepared by the Receiving Party that contain it. At the Disclosing Party's request, an authorized representative of the Receiving Party will confirm completion in writing.</w:t>
      </w:r>
    </w:p>
    <w:p>
      <w:pPr>
        <w:widowControl/>
        <w:spacing w:after="100" w:line="250" w:lineRule="auto"/>
      </w:pPr>
      <w:r>
        <w:rPr>
          <w:rFonts w:ascii="Times New Roman" w:hAnsi="Times New Roman"/>
          <w:color w:val="242F36"/>
          <w:sz w:val="21"/>
        </w:rPr>
        <w:t>The Receiving Party may retain copies maintained in routine computer backups that are not reasonably accessible in the ordinary course and one archival copy maintained by its legal or compliance function for recordkeeping or legal purposes. Any retained Confidential Information remains subject to this Agreement and may not be accessed or used except as required for its permitted retention.</w:t>
      </w:r>
    </w:p>
    <w:p>
      <w:pPr>
        <w:keepNext/>
        <w:keepLines/>
        <w:spacing w:before="100" w:after="40"/>
      </w:pPr>
      <w:r>
        <w:rPr>
          <w:rFonts w:ascii="Times New Roman" w:hAnsi="Times New Roman"/>
          <w:b/>
          <w:color w:val="000000"/>
          <w:sz w:val="21"/>
        </w:rPr>
        <w:t>10. Ownership; no license; feedback</w:t>
      </w:r>
    </w:p>
    <w:p>
      <w:pPr>
        <w:widowControl/>
        <w:spacing w:after="100" w:line="250" w:lineRule="auto"/>
      </w:pPr>
      <w:r>
        <w:rPr>
          <w:rFonts w:ascii="Times New Roman" w:hAnsi="Times New Roman"/>
          <w:color w:val="242F36"/>
          <w:sz w:val="21"/>
        </w:rPr>
        <w:t>The Disclosing Party retains all right, title, and interest in its Confidential Information and related intellectual property. No license or other right is granted by disclosure except the limited right to use Confidential Information for the Purpose. Neither Party is required to disclose information, enter into a transaction, or proceed with a commercial relationship. Confidential Information is provided "as is" without representation or warranty as to accuracy or completeness.</w:t>
      </w:r>
    </w:p>
    <w:p>
      <w:pPr>
        <w:widowControl/>
        <w:spacing w:after="100" w:line="250" w:lineRule="auto"/>
      </w:pPr>
      <w:r>
        <w:rPr>
          <w:rFonts w:ascii="Times New Roman" w:hAnsi="Times New Roman"/>
          <w:color w:val="242F36"/>
          <w:sz w:val="21"/>
        </w:rPr>
        <w:t>A Party may use general suggestions or comments about its products that the other Party voluntarily provides in connection with the Purpose, without payment or restriction, provided that this permission does not grant a right to use or disclose the other Party's Confidential Information beyond the Purpose or transfer ownership of the other Party's materials or intellectual property.</w:t>
      </w:r>
    </w:p>
    <w:p>
      <w:pPr>
        <w:keepNext/>
        <w:keepLines/>
        <w:spacing w:before="100" w:after="40"/>
      </w:pPr>
      <w:r>
        <w:rPr>
          <w:rFonts w:ascii="Times New Roman" w:hAnsi="Times New Roman"/>
          <w:b/>
          <w:color w:val="000000"/>
          <w:sz w:val="21"/>
        </w:rPr>
        <w:t>11. Remedies</w:t>
      </w:r>
    </w:p>
    <w:p>
      <w:pPr>
        <w:widowControl/>
        <w:spacing w:after="100" w:line="250" w:lineRule="auto"/>
      </w:pPr>
      <w:r>
        <w:rPr>
          <w:rFonts w:ascii="Times New Roman" w:hAnsi="Times New Roman"/>
          <w:color w:val="242F36"/>
          <w:sz w:val="21"/>
        </w:rPr>
        <w:t>Each Party acknowledges that unauthorized use or disclosure of its Confidential Information may cause harm that is not readily compensated by money alone. The affected Party may seek equitable relief, including an injunction, in addition to any other remedy available at law. Any relief remains subject to the discretion of the court with jurisdiction.</w:t>
      </w:r>
    </w:p>
    <w:p>
      <w:pPr>
        <w:keepNext/>
        <w:keepLines/>
        <w:spacing w:before="100" w:after="40"/>
      </w:pPr>
      <w:r>
        <w:rPr>
          <w:rFonts w:ascii="Times New Roman" w:hAnsi="Times New Roman"/>
          <w:b/>
          <w:color w:val="000000"/>
          <w:sz w:val="21"/>
        </w:rPr>
        <w:t>12. General</w:t>
      </w:r>
    </w:p>
    <w:p>
      <w:pPr>
        <w:widowControl/>
        <w:spacing w:after="100" w:line="250" w:lineRule="auto"/>
      </w:pPr>
      <w:r>
        <w:rPr>
          <w:rFonts w:ascii="Times New Roman" w:hAnsi="Times New Roman"/>
          <w:color w:val="242F36"/>
          <w:sz w:val="21"/>
        </w:rPr>
        <w:t>Neither Party may assign this Agreement without the other Party's prior written consent, except to an Affiliate or successor in connection with a merger, reorganization, or sale of all or substantially all of the assigning Party's business or assets to which this Agreement relates, provided the assignee agrees in writing to be bound by this Agreement. Any permitted assignment does not release the assigning Party from obligations that arose before the assignment.</w:t>
      </w:r>
    </w:p>
    <w:p>
      <w:pPr>
        <w:widowControl/>
        <w:spacing w:after="100" w:line="250" w:lineRule="auto"/>
      </w:pPr>
      <w:r>
        <w:rPr>
          <w:rFonts w:ascii="Times New Roman" w:hAnsi="Times New Roman"/>
          <w:color w:val="242F36"/>
          <w:sz w:val="21"/>
        </w:rPr>
        <w:t>This Agreement is the entire agreement between the Parties concerning its subject matter and supersedes prior discussions or agreements on that subject. Any amendment or waiver must be in writing and signed by both Parties. A failure to enforce a provision is not a waiver. If a provision is unenforceable, it will be modified to the minimum extent necessary, and the remaining provisions will continue in effect.</w:t>
      </w:r>
    </w:p>
    <w:p>
      <w:pPr>
        <w:widowControl/>
        <w:spacing w:after="100" w:line="250" w:lineRule="auto"/>
      </w:pPr>
      <w:r>
        <w:rPr>
          <w:rFonts w:ascii="Times New Roman" w:hAnsi="Times New Roman"/>
          <w:color w:val="242F36"/>
          <w:sz w:val="21"/>
        </w:rPr>
        <w:t>Notices under this Agreement must be in writing and delivered by personal delivery, nationally recognized overnight courier, or certified or registered mail to the principal office of the applicable Party stated above, attention: Legal Department. A Party may change its notice address by notice under this Section.</w:t>
      </w:r>
    </w:p>
    <w:p>
      <w:pPr>
        <w:keepNext/>
        <w:keepLines/>
        <w:spacing w:before="100" w:after="40"/>
      </w:pPr>
      <w:r>
        <w:rPr>
          <w:rFonts w:ascii="Times New Roman" w:hAnsi="Times New Roman"/>
          <w:b/>
          <w:color w:val="000000"/>
          <w:sz w:val="21"/>
        </w:rPr>
        <w:t>13. Governing law and forum</w:t>
      </w:r>
    </w:p>
    <w:p>
      <w:pPr>
        <w:widowControl/>
        <w:spacing w:after="100" w:line="250" w:lineRule="auto"/>
      </w:pPr>
      <w:r>
        <w:rPr>
          <w:rFonts w:ascii="Times New Roman" w:hAnsi="Times New Roman"/>
          <w:color w:val="242F36"/>
          <w:sz w:val="21"/>
        </w:rPr>
        <w:t>This Agreement and any dispute arising out of or relating to it are governed by the laws of the State of Wisconsin, without regard to its conflict-of-laws rules. The state and federal courts located in Milwaukee County, Wisconsin have exclusive jurisdiction over any such dispute, and each Party consents to personal jurisdiction and venue in those courts.</w:t>
      </w:r>
    </w:p>
    <w:p>
      <w:pPr>
        <w:keepNext/>
        <w:keepLines/>
        <w:spacing w:before="100" w:after="40"/>
      </w:pPr>
      <w:r>
        <w:rPr>
          <w:rFonts w:ascii="Times New Roman" w:hAnsi="Times New Roman"/>
          <w:b/>
          <w:color w:val="000000"/>
          <w:sz w:val="21"/>
        </w:rPr>
        <w:t>14. Counterparts and electronic signatures</w:t>
      </w:r>
    </w:p>
    <w:p>
      <w:pPr>
        <w:widowControl/>
        <w:spacing w:after="100" w:line="250" w:lineRule="auto"/>
      </w:pPr>
      <w:r>
        <w:rPr>
          <w:rFonts w:ascii="Times New Roman" w:hAnsi="Times New Roman"/>
          <w:color w:val="242F36"/>
          <w:sz w:val="21"/>
        </w:rPr>
        <w:t>This Agreement may be executed in counterparts, each of which is deemed an original and all of which together form one agreement. A signature delivered by electronic means has the same effect as an original signature.</w:t>
      </w:r>
    </w:p>
    <w:p>
      <w:pPr>
        <w:spacing w:before="180" w:after="100"/>
      </w:pPr>
      <w:r>
        <w:rPr>
          <w:rFonts w:ascii="Times New Roman" w:hAnsi="Times New Roman"/>
          <w:i/>
          <w:color w:val="242F36"/>
          <w:sz w:val="21"/>
        </w:rPr>
        <w:t>The Parties have caused this Agreement to be signed by their authorized representatives.</w:t>
      </w:r>
    </w:p>
    <w:tbl>
      <w:tblPr>
        <w:tblW w:type="auto" w:w="0"/>
        <w:jc w:val="left"/>
        <w:tblLayout w:type="fixed"/>
        <w:tblLook w:firstColumn="1" w:firstRow="1" w:lastColumn="0" w:lastRow="0" w:noHBand="0" w:noVBand="1" w:val="04A0"/>
        <w:tblBorders>
          <w:top w:val="single" w:sz="5" w:space="0" w:color="D4DEE3"/>
          <w:left w:val="single" w:sz="5" w:space="0" w:color="D4DEE3"/>
          <w:bottom w:val="single" w:sz="5" w:space="0" w:color="D4DEE3"/>
          <w:right w:val="single" w:sz="5" w:space="0" w:color="D4DEE3"/>
          <w:insideH w:val="single" w:sz="5" w:space="0" w:color="D4DEE3"/>
          <w:insideV w:val="single" w:sz="5" w:space="0" w:color="D4DEE3"/>
        </w:tblBorders>
      </w:tblPr>
      <w:tblGrid>
        <w:gridCol w:w="4853"/>
        <w:gridCol w:w="4853"/>
      </w:tblGrid>
      <w:tr>
        <w:tc>
          <w:tcPr>
            <w:tcW w:type="dxa" w:w="4680"/>
            <w:tcMar>
              <w:top w:w="140" w:type="dxa"/>
              <w:start w:w="150" w:type="dxa"/>
              <w:bottom w:w="130" w:type="dxa"/>
              <w:end w:w="150" w:type="dxa"/>
            </w:tcMar>
            <w:vAlign w:val="top"/>
          </w:tcPr>
          <w:p>
            <w:pPr>
              <w:spacing w:after="100"/>
            </w:pPr>
            <w:r>
              <w:rPr>
                <w:rFonts w:ascii="Arial" w:hAnsi="Arial"/>
                <w:b/>
                <w:color w:val="19384D"/>
                <w:sz w:val="17"/>
              </w:rPr>
              <w:t>REDBARROW FLEET NETWORKS, INC.</w:t>
            </w:r>
          </w:p>
          <w:p>
            <w:pPr>
              <w:spacing w:after="160"/>
            </w:pPr>
            <w:r>
              <w:rPr>
                <w:rFonts w:ascii="Times New Roman" w:hAnsi="Times New Roman"/>
                <w:color w:val="242F36"/>
                <w:sz w:val="19"/>
              </w:rPr>
              <w:t>1128 Harbor Pike, Suite 800</w:t>
              <w:br/>
              <w:t>Milwaukee, Wisconsin 53202</w:t>
            </w:r>
          </w:p>
          <w:p>
            <w:pPr>
              <w:spacing w:after="100"/>
            </w:pPr>
            <w:r>
              <w:rPr>
                <w:rFonts w:ascii="Times New Roman" w:hAnsi="Times New Roman"/>
                <w:color w:val="242F36"/>
                <w:sz w:val="18"/>
              </w:rPr>
              <w:t>By:  ________________________________</w:t>
            </w:r>
          </w:p>
          <w:p>
            <w:pPr>
              <w:spacing w:after="60"/>
            </w:pPr>
            <w:r>
              <w:rPr>
                <w:rFonts w:ascii="Times New Roman" w:hAnsi="Times New Roman"/>
                <w:color w:val="242F36"/>
                <w:sz w:val="18"/>
              </w:rPr>
              <w:t>Name:  ____________________________</w:t>
            </w:r>
          </w:p>
          <w:p>
            <w:pPr>
              <w:spacing w:after="60"/>
            </w:pPr>
            <w:r>
              <w:rPr>
                <w:rFonts w:ascii="Times New Roman" w:hAnsi="Times New Roman"/>
                <w:color w:val="242F36"/>
                <w:sz w:val="18"/>
              </w:rPr>
              <w:t>Title:  ____________________________</w:t>
            </w:r>
          </w:p>
          <w:p>
            <w:pPr>
              <w:spacing w:after="60"/>
            </w:pPr>
            <w:r>
              <w:rPr>
                <w:rFonts w:ascii="Times New Roman" w:hAnsi="Times New Roman"/>
                <w:color w:val="242F36"/>
                <w:sz w:val="18"/>
              </w:rPr>
              <w:t>Date:  ____________________________</w:t>
            </w:r>
          </w:p>
        </w:tc>
        <w:tc>
          <w:tcPr>
            <w:tcW w:type="dxa" w:w="4680"/>
            <w:tcMar>
              <w:top w:w="140" w:type="dxa"/>
              <w:start w:w="150" w:type="dxa"/>
              <w:bottom w:w="130" w:type="dxa"/>
              <w:end w:w="150" w:type="dxa"/>
            </w:tcMar>
            <w:vAlign w:val="top"/>
          </w:tcPr>
          <w:p>
            <w:pPr>
              <w:spacing w:after="100"/>
            </w:pPr>
            <w:r>
              <w:rPr>
                <w:rFonts w:ascii="Arial" w:hAnsi="Arial"/>
                <w:b/>
                <w:color w:val="19384D"/>
                <w:sz w:val="17"/>
              </w:rPr>
              <w:t>LINDENWAKE ROUTE SYSTEMS, INC.</w:t>
            </w:r>
          </w:p>
          <w:p>
            <w:pPr>
              <w:spacing w:after="160"/>
            </w:pPr>
            <w:r>
              <w:rPr>
                <w:rFonts w:ascii="Times New Roman" w:hAnsi="Times New Roman"/>
                <w:color w:val="242F36"/>
                <w:sz w:val="19"/>
              </w:rPr>
              <w:t>5150 Shale Creek Drive, Suite 420</w:t>
              <w:br/>
              <w:t>Columbus, Ohio 43220</w:t>
            </w:r>
          </w:p>
          <w:p>
            <w:pPr>
              <w:spacing w:after="100"/>
            </w:pPr>
            <w:r>
              <w:rPr>
                <w:rFonts w:ascii="Times New Roman" w:hAnsi="Times New Roman"/>
                <w:color w:val="242F36"/>
                <w:sz w:val="18"/>
              </w:rPr>
              <w:t>By:  ________________________________</w:t>
            </w:r>
          </w:p>
          <w:p>
            <w:pPr>
              <w:spacing w:after="60"/>
            </w:pPr>
            <w:r>
              <w:rPr>
                <w:rFonts w:ascii="Times New Roman" w:hAnsi="Times New Roman"/>
                <w:color w:val="242F36"/>
                <w:sz w:val="18"/>
              </w:rPr>
              <w:t>Name:  ____________________________</w:t>
            </w:r>
          </w:p>
          <w:p>
            <w:pPr>
              <w:spacing w:after="60"/>
            </w:pPr>
            <w:r>
              <w:rPr>
                <w:rFonts w:ascii="Times New Roman" w:hAnsi="Times New Roman"/>
                <w:color w:val="242F36"/>
                <w:sz w:val="18"/>
              </w:rPr>
              <w:t>Title:  ____________________________</w:t>
            </w:r>
          </w:p>
          <w:p>
            <w:pPr>
              <w:spacing w:after="60"/>
            </w:pPr>
            <w:r>
              <w:rPr>
                <w:rFonts w:ascii="Times New Roman" w:hAnsi="Times New Roman"/>
                <w:color w:val="242F36"/>
                <w:sz w:val="18"/>
              </w:rPr>
              <w:t>Date:  ____________________________</w:t>
            </w:r>
          </w:p>
        </w:tc>
      </w:tr>
    </w:tbl>
    <w:sectPr w:rsidR="00FC693F" w:rsidRPr="0006063C" w:rsidSect="00034616">
      <w:headerReference w:type="default" r:id="rId9"/>
      <w:footerReference w:type="default" r:id="rId10"/>
      <w:pgSz w:w="12240" w:h="15840"/>
      <w:pgMar w:top="1123" w:right="1267" w:bottom="1094" w:left="126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Arial" w:hAnsi="Arial"/>
        <w:color w:val="60717B"/>
        <w:sz w:val="16"/>
      </w:rPr>
      <w:t>Mutual Non-Disclosure Agreement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Arial" w:hAnsi="Arial"/>
        <w:b/>
        <w:color w:val="60717B"/>
        <w:sz w:val="16"/>
      </w:rPr>
      <w:t>REDBARROW FLEET NETWORKS,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90" w:line="259" w:lineRule="auto"/>
    </w:pPr>
    <w:rPr>
      <w:rFonts w:ascii="Times New Roman" w:hAnsi="Times New Roman"/>
      <w:color w:val="242F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90"/>
      <w:outlineLvl w:val="0"/>
    </w:pPr>
    <w:rPr>
      <w:rFonts w:asciiTheme="majorHAnsi" w:eastAsiaTheme="majorEastAsia" w:hAnsiTheme="majorHAnsi" w:cstheme="majorBidi" w:ascii="Times New Roman" w:hAnsi="Times New Roman"/>
      <w:b/>
      <w:bCs/>
      <w:color w:val="19384D"/>
      <w:sz w:val="30"/>
      <w:szCs w:val="28"/>
    </w:rPr>
  </w:style>
  <w:style w:type="paragraph" w:styleId="Heading2">
    <w:name w:val="heading 2"/>
    <w:basedOn w:val="Normal"/>
    <w:next w:val="Normal"/>
    <w:link w:val="Heading2Char"/>
    <w:uiPriority w:val="9"/>
    <w:unhideWhenUsed/>
    <w:qFormat/>
    <w:rsid w:val="00FC693F"/>
    <w:pPr>
      <w:keepNext/>
      <w:keepLines/>
      <w:spacing w:before="140" w:after="50"/>
      <w:outlineLvl w:val="1"/>
    </w:pPr>
    <w:rPr>
      <w:rFonts w:asciiTheme="majorHAnsi" w:eastAsiaTheme="majorEastAsia" w:hAnsiTheme="majorHAnsi" w:cstheme="majorBidi" w:ascii="Times New Roman" w:hAnsi="Times New Roman"/>
      <w:b/>
      <w:bCs/>
      <w:color w:val="2C777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Mutual Non-Disclosure Agreement</dc:title>
  <dc:subject>Potential FleetCurrent and RoutePilot integration</dc:subject>
  <dc:creator>Redbarrow Fleet Networks, Inc.</dc:creator>
  <cp:keywords>mutual NDA; integration evaluation; FleetCurrent; RoutePilot</cp:keywords>
  <dc:description>generated by python-docx</dc:description>
  <cp:lastModifiedBy/>
  <cp:revision>1</cp:revision>
  <dcterms:created xsi:type="dcterms:W3CDTF">2013-12-23T23:15:00Z</dcterms:created>
  <dcterms:modified xsi:type="dcterms:W3CDTF">2013-12-23T23:15:00Z</dcterms:modified>
  <cp:category/>
</cp:coreProperties>
</file>