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Services</w:t>
      </w:r>
    </w:p>
    <w:p>
      <w:r>
        <w:t xml:space="preserve">Supplier shall provide the services described in Schedule A.</w:t>
      </w:r>
    </w:p>
    <w:p>
      <w:pPr>
        <w:pStyle w:val="Heading1"/>
      </w:pPr>
      <w:r>
        <w:t xml:space="preserve">2. Non-Solicitation</w:t>
      </w:r>
    </w:p>
    <w:p>
      <w:r>
        <w:t xml:space="preserve">Neither party shall solicit the employees of the other party.</w:t>
      </w:r>
    </w:p>
    <w:p>
      <w:r>
        <w:t xml:space="preserve">This restriction survives for twelve months after termination.</w:t>
      </w:r>
    </w:p>
    <w:p>
      <w:pPr>
        <w:pStyle w:val="Heading1"/>
      </w:pPr>
      <w:r>
        <w:t xml:space="preserve">3.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