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Services</w:t>
      </w:r>
    </w:p>
    <w:p>
      <w:r>
        <w:t xml:space="preserve">Supplier shall provide the services described in Schedule A.</w:t>
      </w:r>
    </w:p>
    <w:p>
      <w:pPr>
        <w:pStyle w:val="Heading1"/>
      </w:pPr>
      <w:r>
        <w:t xml:space="preserve">2. Limitation of Liability</w:t>
      </w:r>
    </w:p>
    <w:p>
      <w:r>
        <w:t xml:space="preserve">Supplier </w:t>
      </w:r>
      <w:r>
        <w:t xml:space="preserve">liability </w:t>
      </w:r>
      <w:r>
        <w:t xml:space="preserve">shall </w:t>
      </w:r>
      <w:r>
        <w:t xml:space="preserve">be </w:t>
      </w:r>
      <w:r>
        <w:t xml:space="preserve">unlimited.</w:t>
      </w:r>
    </w:p>
    <w:p>
      <w:pPr>
        <w:pStyle w:val="Heading1"/>
      </w:pPr>
      <w:r>
        <w:t xml:space="preserve">3.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