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Master Services Agreement</w:t>
      </w:r>
    </w:p>
    <w:p>
      <w:pPr>
        <w:pStyle w:val="Heading1"/>
      </w:pPr>
      <w:r>
        <w:t xml:space="preserve">1. Limitation of Liability</w:t>
      </w:r>
    </w:p>
    <w:p>
      <w:r>
        <w:t xml:space="preserve">First paragraph of the original cap language.</w:t>
      </w:r>
    </w:p>
    <w:p>
      <w:r>
        <w:t xml:space="preserve">Second paragraph of the original cap language.</w:t>
      </w:r>
    </w:p>
    <w:p>
      <w:r>
        <w:t xml:space="preserve">Third paragraph of the original cap language.</w:t>
      </w:r>
    </w:p>
    <w:p>
      <w:pPr>
        <w:pStyle w:val="Heading1"/>
      </w:pPr>
      <w:r>
        <w:t xml:space="preserve">2. Governing Law</w:t>
      </w:r>
    </w:p>
    <w:p>
      <w:r>
        <w:t xml:space="preserve">This Agreement is governed by the laws of Delaware.</w:t>
      </w:r>
    </w:p>
    <w:sectPr/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</Relationships>
</file>