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shall be unlimited.</w:t>
      </w:r>
    </w:p>
    <w:p>
      <w:pPr>
        <w:pStyle w:val="Heading1"/>
      </w:pPr>
      <w:r>
        <w:t xml:space="preserve">2. Governing Law</w:t>
      </w:r>
    </w:p>
    <w:p>
      <w:r>
        <w:t xml:space="preserve">This Agreement is governed by the laws of Delaware.</w:t>
      </w:r>
    </w:p>
    <w:p>
      <w:pPr>
        <w:pStyle w:val="Heading1"/>
      </w:pPr>
      <w:r>
        <w:t xml:space="preserve">3. Miscellaneous</w:t>
      </w:r>
    </w:p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footer1.xml><?xml version="1.0" encoding="utf-8"?>
<w:ftr xmlns:w="http://schemas.openxmlformats.org/wordprocessingml/2006/main">
  <w:p>
    <w:r>
      <w:t>Page footer</w:t>
    </w:r>
  </w:p>
</w:ftr>
</file>

<file path=word/header1.xml><?xml version="1.0" encoding="utf-8"?>
<w:hdr xmlns:w="http://schemas.openxmlformats.org/wordprocessingml/2006/main">
  <w:p>
    <w:r>
      <w:t>Confidential draft</w:t>
    </w:r>
  </w:p>
</w:hdr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Image" Type="http://schemas.openxmlformats.org/officeDocument/2006/relationships/image" Target="media/image1.png"/>
</Relationships>
</file>