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Negotiation Playbook (Routine, Demonstration)</w:t>
      </w:r>
    </w:p>
    <w:p>
      <w:pPr>
        <w:pStyle w:val="Heading1"/>
      </w:pPr>
      <w:r>
        <w:t xml:space="preserve">Confidentiality</w:t>
      </w:r>
    </w:p>
    <w:p>
      <w:r>
        <w:t xml:space="preserve">The receiving party must protect the disclosing party confidential information using the same degree of care it applies to its own.</w:t>
      </w:r>
    </w:p>
    <w:p>
      <w:pPr>
        <w:pStyle w:val="Heading1"/>
      </w:pPr>
      <w:r>
        <w:t xml:space="preserve">Indemnification</w:t>
      </w:r>
    </w:p>
    <w:p>
      <w:r>
        <w:t xml:space="preserve">The supplier must indemnify the customer against third-party claims arising from the supplier breach of its obligations.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