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aps/>
          <w:color w:val="1F3864"/>
          <w:sz w:val="18"/>
        </w:rPr>
        <w:t>BRAMBER SOFTWARE LIMITED</w:t>
      </w:r>
    </w:p>
    <w:p>
      <w:pPr>
        <w:pBdr>
          <w:top w:val="single" w:sz="18" w:space="1" w:color="1F3864"/>
        </w:pBdr>
        <w:spacing w:after="120"/>
      </w:pPr>
    </w:p>
    <w:p>
      <w:pPr>
        <w:spacing w:before="480" w:after="200"/>
      </w:pPr>
      <w:r>
        <w:rPr>
          <w:rFonts w:ascii="Calibri" w:hAnsi="Calibri"/>
          <w:b/>
          <w:color w:val="1F3864"/>
          <w:sz w:val="56"/>
        </w:rPr>
        <w:t>Clause Library — Customer Contracts</w:t>
      </w:r>
    </w:p>
    <w:p>
      <w:pPr>
        <w:spacing w:after="960"/>
      </w:pPr>
      <w:r>
        <w:rPr>
          <w:rFonts w:ascii="Calibri" w:hAnsi="Calibri"/>
          <w:color w:val="404040"/>
          <w:sz w:val="26"/>
        </w:rPr>
        <w:t>Approved clauses, variants and guidance for customer contracts</w:t>
      </w:r>
    </w:p>
    <w:tbl>
      <w:tblPr>
        <w:tblW w:type="auto" w:w="0"/>
        <w:tblLayout w:type="fixed"/>
        <w:tblCellMar>
          <w:top w:w="80" w:type="dxa"/>
          <w:left w:w="100" w:type="dxa"/>
          <w:bottom w:w="80" w:type="dxa"/>
          <w:right w:w="100" w:type="dxa"/>
        </w:tblCellMar>
        <w:tblLook w:firstColumn="1" w:firstRow="1" w:lastColumn="0" w:lastRow="0" w:noHBand="0" w:noVBand="1" w:val="04A0"/>
      </w:tblPr>
      <w:tblGrid>
        <w:gridCol w:w="4762"/>
        <w:gridCol w:w="4762"/>
      </w:tblGrid>
      <w:tr>
        <w:tc>
          <w:tcPr>
            <w:tcW w:type="dxa" w:w="2438"/>
            <w:shd w:val="clear" w:color="auto" w:fill="EDF1F7"/>
          </w:tcPr>
          <w:p>
            <w:pPr>
              <w:spacing w:after="40"/>
            </w:pPr>
            <w:r>
              <w:rPr>
                <w:rFonts w:ascii="Calibri" w:hAnsi="Calibri"/>
                <w:b/>
                <w:color w:val="595959"/>
                <w:sz w:val="16"/>
              </w:rPr>
              <w:t>VERSION</w:t>
            </w:r>
          </w:p>
        </w:tc>
        <w:tc>
          <w:tcPr>
            <w:tcW w:type="dxa" w:w="6803"/>
          </w:tcPr>
          <w:p>
            <w:pPr>
              <w:spacing w:after="40"/>
            </w:pPr>
            <w:r>
              <w:rPr>
                <w:rFonts w:ascii="Calibri" w:hAnsi="Calibri"/>
                <w:sz w:val="19"/>
              </w:rPr>
              <w:t>2.6</w:t>
            </w:r>
          </w:p>
        </w:tc>
      </w:tr>
      <w:tr>
        <w:tc>
          <w:tcPr>
            <w:tcW w:type="dxa" w:w="2438"/>
            <w:shd w:val="clear" w:color="auto" w:fill="EDF1F7"/>
          </w:tcPr>
          <w:p>
            <w:pPr>
              <w:spacing w:after="40"/>
            </w:pPr>
            <w:r>
              <w:rPr>
                <w:rFonts w:ascii="Calibri" w:hAnsi="Calibri"/>
                <w:b/>
                <w:color w:val="595959"/>
                <w:sz w:val="16"/>
              </w:rPr>
              <w:t>OWNER</w:t>
            </w:r>
          </w:p>
        </w:tc>
        <w:tc>
          <w:tcPr>
            <w:tcW w:type="dxa" w:w="6803"/>
          </w:tcPr>
          <w:p>
            <w:pPr>
              <w:spacing w:after="40"/>
            </w:pPr>
            <w:r>
              <w:rPr>
                <w:rFonts w:ascii="Calibri" w:hAnsi="Calibri"/>
                <w:sz w:val="19"/>
              </w:rPr>
              <w:t>Tom Whitlock, Senior Commercial Counsel</w:t>
            </w:r>
          </w:p>
        </w:tc>
      </w:tr>
      <w:tr>
        <w:tc>
          <w:tcPr>
            <w:tcW w:type="dxa" w:w="2438"/>
            <w:shd w:val="clear" w:color="auto" w:fill="EDF1F7"/>
          </w:tcPr>
          <w:p>
            <w:pPr>
              <w:spacing w:after="40"/>
            </w:pPr>
            <w:r>
              <w:rPr>
                <w:rFonts w:ascii="Calibri" w:hAnsi="Calibri"/>
                <w:b/>
                <w:color w:val="595959"/>
                <w:sz w:val="16"/>
              </w:rPr>
              <w:t>LAST REVIEWED</w:t>
            </w:r>
          </w:p>
        </w:tc>
        <w:tc>
          <w:tcPr>
            <w:tcW w:type="dxa" w:w="6803"/>
          </w:tcPr>
          <w:p>
            <w:pPr>
              <w:spacing w:after="40"/>
            </w:pPr>
            <w:r>
              <w:rPr>
                <w:rFonts w:ascii="Calibri" w:hAnsi="Calibri"/>
                <w:sz w:val="19"/>
              </w:rPr>
              <w:t>12 January 2026</w:t>
            </w:r>
          </w:p>
        </w:tc>
      </w:tr>
      <w:tr>
        <w:tc>
          <w:tcPr>
            <w:tcW w:type="dxa" w:w="2438"/>
            <w:shd w:val="clear" w:color="auto" w:fill="EDF1F7"/>
          </w:tcPr>
          <w:p>
            <w:pPr>
              <w:spacing w:after="40"/>
            </w:pPr>
            <w:r>
              <w:rPr>
                <w:rFonts w:ascii="Calibri" w:hAnsi="Calibri"/>
                <w:b/>
                <w:color w:val="595959"/>
                <w:sz w:val="16"/>
              </w:rPr>
              <w:t>CLASSIFICATION</w:t>
            </w:r>
          </w:p>
        </w:tc>
        <w:tc>
          <w:tcPr>
            <w:tcW w:type="dxa" w:w="6803"/>
          </w:tcPr>
          <w:p>
            <w:pPr>
              <w:spacing w:after="40"/>
            </w:pPr>
            <w:r>
              <w:rPr>
                <w:rFonts w:ascii="Calibri" w:hAnsi="Calibri"/>
                <w:sz w:val="19"/>
              </w:rPr>
              <w:t>Internal — Legal &amp; Commercial</w:t>
            </w:r>
          </w:p>
        </w:tc>
      </w:tr>
      <w:tr>
        <w:tc>
          <w:tcPr>
            <w:tcW w:type="dxa" w:w="2438"/>
            <w:shd w:val="clear" w:color="auto" w:fill="EDF1F7"/>
          </w:tcPr>
          <w:p>
            <w:pPr>
              <w:spacing w:after="40"/>
            </w:pPr>
            <w:r>
              <w:rPr>
                <w:rFonts w:ascii="Calibri" w:hAnsi="Calibri"/>
                <w:b/>
                <w:color w:val="595959"/>
                <w:sz w:val="16"/>
              </w:rPr>
              <w:t>COVERAGE</w:t>
            </w:r>
          </w:p>
        </w:tc>
        <w:tc>
          <w:tcPr>
            <w:tcW w:type="dxa" w:w="6803"/>
          </w:tcPr>
          <w:p>
            <w:pPr>
              <w:spacing w:after="40"/>
            </w:pPr>
            <w:r>
              <w:rPr>
                <w:rFonts w:ascii="Calibri" w:hAnsi="Calibri"/>
                <w:sz w:val="19"/>
              </w:rPr>
              <w:t>MSAs, order forms, statements of work, DPAs and NDAs</w:t>
            </w:r>
          </w:p>
        </w:tc>
      </w:tr>
    </w:tbl>
    <w:p/>
    <w:p>
      <w:pPr>
        <w:spacing w:after="0"/>
      </w:pPr>
      <w:r>
        <w:br w:type="page"/>
      </w:r>
    </w:p>
    <w:p>
      <w:pPr>
        <w:pStyle w:val="Heading1"/>
      </w:pPr>
      <w:r>
        <w:t>About this library</w:t>
      </w:r>
    </w:p>
    <w:p>
      <w:r>
        <w:rPr>
          <w:b w:val="0"/>
          <w:i w:val="0"/>
        </w:rPr>
        <w:t>This library contains the clauses we use most often in customer MSAs, order forms and statements of work. Each clause has a preferred version and, where we have agreed one, up to two fallbacks. The variants are not a menu: start with the preferred version and move only as far as the deal requires.</w:t>
      </w:r>
    </w:p>
    <w:p>
      <w:r>
        <w:rPr>
          <w:b w:val="0"/>
          <w:i w:val="0"/>
        </w:rPr>
        <w:t>The clauses are drafting blocks, not complete agreements. They assume the definitions and interpretation provisions in the Bramber MSA. If a clause is used in a different document, check that the defined terms exist and that the cross-references point to the right place.</w:t>
      </w:r>
    </w:p>
    <w:p>
      <w:r>
        <w:rPr>
          <w:b w:val="0"/>
          <w:i w:val="0"/>
        </w:rPr>
        <w:t>The guidance note under each clause explains the commercial point, the usual counterparty objection and the boundary of the fallback. It is not legal advice for a specific deal; the playbook position and the approval matrix still apply.</w:t>
      </w:r>
    </w:p>
    <w:p>
      <w:pPr>
        <w:pStyle w:val="Heading1"/>
      </w:pPr>
      <w:r>
        <w:t>How to use the clauses</w:t>
      </w:r>
    </w:p>
    <w:p>
      <w:pPr>
        <w:spacing w:after="80"/>
        <w:ind w:left="397" w:hanging="397"/>
      </w:pPr>
      <w:r>
        <w:rPr>
          <w:b/>
          <w:color w:val="1F3864"/>
        </w:rPr>
        <w:t>1.</w:t>
        <w:tab/>
      </w:r>
      <w:r>
        <w:rPr>
          <w:b w:val="0"/>
          <w:i w:val="0"/>
        </w:rPr>
        <w:t>Select the clause that matches the topic and contract type. Do not combine variants from different clauses without checking the interaction.</w:t>
      </w:r>
    </w:p>
    <w:p>
      <w:pPr>
        <w:spacing w:after="80"/>
        <w:ind w:left="397" w:hanging="397"/>
      </w:pPr>
      <w:r>
        <w:rPr>
          <w:b/>
          <w:color w:val="1F3864"/>
        </w:rPr>
        <w:t>2.</w:t>
        <w:tab/>
      </w:r>
      <w:r>
        <w:rPr>
          <w:b w:val="0"/>
          <w:i w:val="0"/>
        </w:rPr>
        <w:t>Check the defined terms. If the counterparty uses 'Services', 'Fees' or 'Customer Data' differently, conform the clause before sending it.</w:t>
      </w:r>
    </w:p>
    <w:p>
      <w:pPr>
        <w:spacing w:after="80"/>
        <w:ind w:left="397" w:hanging="397"/>
      </w:pPr>
      <w:r>
        <w:rPr>
          <w:b/>
          <w:color w:val="1F3864"/>
        </w:rPr>
        <w:t>3.</w:t>
        <w:tab/>
      </w:r>
      <w:r>
        <w:rPr>
          <w:b w:val="0"/>
          <w:i w:val="0"/>
        </w:rPr>
        <w:t>Use the preferred variant unless the playbook records a fallback for the deal. If you use a fallback, note the clause ID and variant in the deal summary.</w:t>
      </w:r>
    </w:p>
    <w:p>
      <w:pPr>
        <w:spacing w:after="80"/>
        <w:ind w:left="397" w:hanging="397"/>
      </w:pPr>
      <w:r>
        <w:rPr>
          <w:b/>
          <w:color w:val="1F3864"/>
        </w:rPr>
        <w:t>4.</w:t>
        <w:tab/>
      </w:r>
      <w:r>
        <w:rPr>
          <w:b w:val="0"/>
          <w:i w:val="0"/>
        </w:rPr>
        <w:t>Do not use a fallback that has not been approved for the contract type. A fallback in an MSA may not be available in an order form.</w:t>
      </w:r>
    </w:p>
    <w:p>
      <w:pPr>
        <w:spacing w:after="80"/>
        <w:ind w:left="397" w:hanging="397"/>
      </w:pPr>
      <w:r>
        <w:rPr>
          <w:b/>
          <w:color w:val="1F3864"/>
        </w:rPr>
        <w:t>5.</w:t>
        <w:tab/>
      </w:r>
      <w:r>
        <w:rPr>
          <w:b w:val="0"/>
          <w:i w:val="0"/>
        </w:rPr>
        <w:t>Send any new variant to Tom Whitlock for review before it goes into the library.</w:t>
      </w:r>
    </w:p>
    <w:p>
      <w:pPr>
        <w:pStyle w:val="Heading1"/>
      </w:pPr>
      <w:r>
        <w:t>Contents</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3175"/>
        <w:gridCol w:w="3175"/>
        <w:gridCol w:w="3175"/>
      </w:tblGrid>
      <w:tr>
        <w:trPr>
          <w:tblHeader w:val="true"/>
        </w:trPr>
        <w:tc>
          <w:tcPr>
            <w:tcW w:type="dxa" w:w="1361"/>
            <w:shd w:val="clear" w:color="auto" w:fill="1F3864"/>
          </w:tcPr>
          <w:p>
            <w:pPr>
              <w:spacing w:after="0" w:line="240" w:lineRule="auto"/>
            </w:pPr>
            <w:r>
              <w:rPr>
                <w:b/>
                <w:color w:val="FFFFFF"/>
                <w:sz w:val="17"/>
              </w:rPr>
              <w:t>Clause</w:t>
            </w:r>
          </w:p>
        </w:tc>
        <w:tc>
          <w:tcPr>
            <w:tcW w:type="dxa" w:w="4762"/>
            <w:shd w:val="clear" w:color="auto" w:fill="1F3864"/>
          </w:tcPr>
          <w:p>
            <w:pPr>
              <w:spacing w:after="0" w:line="240" w:lineRule="auto"/>
            </w:pPr>
            <w:r>
              <w:rPr>
                <w:b/>
                <w:color w:val="FFFFFF"/>
                <w:sz w:val="17"/>
              </w:rPr>
              <w:t>Topic</w:t>
            </w:r>
          </w:p>
        </w:tc>
        <w:tc>
          <w:tcPr>
            <w:tcW w:type="dxa" w:w="3288"/>
            <w:shd w:val="clear" w:color="auto" w:fill="1F3864"/>
          </w:tcPr>
          <w:p>
            <w:pPr>
              <w:spacing w:after="0" w:line="240" w:lineRule="auto"/>
            </w:pPr>
            <w:r>
              <w:rPr>
                <w:b/>
                <w:color w:val="FFFFFF"/>
                <w:sz w:val="17"/>
              </w:rPr>
              <w:t>Use for</w:t>
            </w:r>
          </w:p>
        </w:tc>
      </w:tr>
      <w:tr>
        <w:trPr>
          <w:cantSplit/>
        </w:trPr>
        <w:tc>
          <w:tcPr>
            <w:tcW w:type="dxa" w:w="1361"/>
          </w:tcPr>
          <w:p>
            <w:pPr>
              <w:spacing w:after="40" w:line="240" w:lineRule="auto"/>
            </w:pPr>
            <w:r>
              <w:rPr>
                <w:b/>
                <w:i w:val="0"/>
                <w:sz w:val="17"/>
              </w:rPr>
              <w:t>CL-01</w:t>
            </w:r>
          </w:p>
        </w:tc>
        <w:tc>
          <w:tcPr>
            <w:tcW w:type="dxa" w:w="4762"/>
          </w:tcPr>
          <w:p>
            <w:pPr>
              <w:spacing w:after="40" w:line="240" w:lineRule="auto"/>
            </w:pPr>
            <w:r>
              <w:rPr>
                <w:b w:val="0"/>
                <w:i w:val="0"/>
                <w:sz w:val="17"/>
              </w:rPr>
              <w:t>Limitation of liability</w:t>
            </w:r>
          </w:p>
        </w:tc>
        <w:tc>
          <w:tcPr>
            <w:tcW w:type="dxa" w:w="3288"/>
          </w:tcPr>
          <w:p>
            <w:pPr>
              <w:spacing w:after="40" w:line="240" w:lineRule="auto"/>
            </w:pPr>
            <w:r>
              <w:rPr>
                <w:b w:val="0"/>
                <w:i w:val="0"/>
                <w:sz w:val="17"/>
              </w:rPr>
              <w:t>MSA; Order Form</w:t>
            </w:r>
          </w:p>
        </w:tc>
      </w:tr>
      <w:tr>
        <w:trPr>
          <w:cantSplit/>
        </w:trPr>
        <w:tc>
          <w:tcPr>
            <w:tcW w:type="dxa" w:w="1361"/>
          </w:tcPr>
          <w:p>
            <w:pPr>
              <w:spacing w:after="40" w:line="240" w:lineRule="auto"/>
            </w:pPr>
            <w:r>
              <w:rPr>
                <w:b/>
                <w:i w:val="0"/>
                <w:sz w:val="17"/>
              </w:rPr>
              <w:t>CL-02</w:t>
            </w:r>
          </w:p>
        </w:tc>
        <w:tc>
          <w:tcPr>
            <w:tcW w:type="dxa" w:w="4762"/>
          </w:tcPr>
          <w:p>
            <w:pPr>
              <w:spacing w:after="40" w:line="240" w:lineRule="auto"/>
            </w:pPr>
            <w:r>
              <w:rPr>
                <w:b w:val="0"/>
                <w:i w:val="0"/>
                <w:sz w:val="17"/>
              </w:rPr>
              <w:t>Intellectual property ownership</w:t>
            </w:r>
          </w:p>
        </w:tc>
        <w:tc>
          <w:tcPr>
            <w:tcW w:type="dxa" w:w="3288"/>
          </w:tcPr>
          <w:p>
            <w:pPr>
              <w:spacing w:after="40" w:line="240" w:lineRule="auto"/>
            </w:pPr>
            <w:r>
              <w:rPr>
                <w:b w:val="0"/>
                <w:i w:val="0"/>
                <w:sz w:val="17"/>
              </w:rPr>
              <w:t>MSA; SOW</w:t>
            </w:r>
          </w:p>
        </w:tc>
      </w:tr>
      <w:tr>
        <w:trPr>
          <w:cantSplit/>
        </w:trPr>
        <w:tc>
          <w:tcPr>
            <w:tcW w:type="dxa" w:w="1361"/>
          </w:tcPr>
          <w:p>
            <w:pPr>
              <w:spacing w:after="40" w:line="240" w:lineRule="auto"/>
            </w:pPr>
            <w:r>
              <w:rPr>
                <w:b/>
                <w:i w:val="0"/>
                <w:sz w:val="17"/>
              </w:rPr>
              <w:t>CL-03</w:t>
            </w:r>
          </w:p>
        </w:tc>
        <w:tc>
          <w:tcPr>
            <w:tcW w:type="dxa" w:w="4762"/>
          </w:tcPr>
          <w:p>
            <w:pPr>
              <w:spacing w:after="40" w:line="240" w:lineRule="auto"/>
            </w:pPr>
            <w:r>
              <w:rPr>
                <w:b w:val="0"/>
                <w:i w:val="0"/>
                <w:sz w:val="17"/>
              </w:rPr>
              <w:t>Data processing</w:t>
            </w:r>
          </w:p>
        </w:tc>
        <w:tc>
          <w:tcPr>
            <w:tcW w:type="dxa" w:w="3288"/>
          </w:tcPr>
          <w:p>
            <w:pPr>
              <w:spacing w:after="40" w:line="240" w:lineRule="auto"/>
            </w:pPr>
            <w:r>
              <w:rPr>
                <w:b w:val="0"/>
                <w:i w:val="0"/>
                <w:sz w:val="17"/>
              </w:rPr>
              <w:t>MSA; DPA</w:t>
            </w:r>
          </w:p>
        </w:tc>
      </w:tr>
      <w:tr>
        <w:trPr>
          <w:cantSplit/>
        </w:trPr>
        <w:tc>
          <w:tcPr>
            <w:tcW w:type="dxa" w:w="1361"/>
          </w:tcPr>
          <w:p>
            <w:pPr>
              <w:spacing w:after="40" w:line="240" w:lineRule="auto"/>
            </w:pPr>
            <w:r>
              <w:rPr>
                <w:b/>
                <w:i w:val="0"/>
                <w:sz w:val="17"/>
              </w:rPr>
              <w:t>CL-04</w:t>
            </w:r>
          </w:p>
        </w:tc>
        <w:tc>
          <w:tcPr>
            <w:tcW w:type="dxa" w:w="4762"/>
          </w:tcPr>
          <w:p>
            <w:pPr>
              <w:spacing w:after="40" w:line="240" w:lineRule="auto"/>
            </w:pPr>
            <w:r>
              <w:rPr>
                <w:b w:val="0"/>
                <w:i w:val="0"/>
                <w:sz w:val="17"/>
              </w:rPr>
              <w:t>Confidentiality</w:t>
            </w:r>
          </w:p>
        </w:tc>
        <w:tc>
          <w:tcPr>
            <w:tcW w:type="dxa" w:w="3288"/>
          </w:tcPr>
          <w:p>
            <w:pPr>
              <w:spacing w:after="40" w:line="240" w:lineRule="auto"/>
            </w:pPr>
            <w:r>
              <w:rPr>
                <w:b w:val="0"/>
                <w:i w:val="0"/>
                <w:sz w:val="17"/>
              </w:rPr>
              <w:t>MSA; NDA</w:t>
            </w:r>
          </w:p>
        </w:tc>
      </w:tr>
      <w:tr>
        <w:trPr>
          <w:cantSplit/>
        </w:trPr>
        <w:tc>
          <w:tcPr>
            <w:tcW w:type="dxa" w:w="1361"/>
          </w:tcPr>
          <w:p>
            <w:pPr>
              <w:spacing w:after="40" w:line="240" w:lineRule="auto"/>
            </w:pPr>
            <w:r>
              <w:rPr>
                <w:b/>
                <w:i w:val="0"/>
                <w:sz w:val="17"/>
              </w:rPr>
              <w:t>CL-05</w:t>
            </w:r>
          </w:p>
        </w:tc>
        <w:tc>
          <w:tcPr>
            <w:tcW w:type="dxa" w:w="4762"/>
          </w:tcPr>
          <w:p>
            <w:pPr>
              <w:spacing w:after="40" w:line="240" w:lineRule="auto"/>
            </w:pPr>
            <w:r>
              <w:rPr>
                <w:b w:val="0"/>
                <w:i w:val="0"/>
                <w:sz w:val="17"/>
              </w:rPr>
              <w:t>Audit rights</w:t>
            </w:r>
          </w:p>
        </w:tc>
        <w:tc>
          <w:tcPr>
            <w:tcW w:type="dxa" w:w="3288"/>
          </w:tcPr>
          <w:p>
            <w:pPr>
              <w:spacing w:after="40" w:line="240" w:lineRule="auto"/>
            </w:pPr>
            <w:r>
              <w:rPr>
                <w:b w:val="0"/>
                <w:i w:val="0"/>
                <w:sz w:val="17"/>
              </w:rPr>
              <w:t>MSA; DPA</w:t>
            </w:r>
          </w:p>
        </w:tc>
      </w:tr>
      <w:tr>
        <w:trPr>
          <w:cantSplit/>
        </w:trPr>
        <w:tc>
          <w:tcPr>
            <w:tcW w:type="dxa" w:w="1361"/>
          </w:tcPr>
          <w:p>
            <w:pPr>
              <w:spacing w:after="40" w:line="240" w:lineRule="auto"/>
            </w:pPr>
            <w:r>
              <w:rPr>
                <w:b/>
                <w:i w:val="0"/>
                <w:sz w:val="17"/>
              </w:rPr>
              <w:t>CL-06</w:t>
            </w:r>
          </w:p>
        </w:tc>
        <w:tc>
          <w:tcPr>
            <w:tcW w:type="dxa" w:w="4762"/>
          </w:tcPr>
          <w:p>
            <w:pPr>
              <w:spacing w:after="40" w:line="240" w:lineRule="auto"/>
            </w:pPr>
            <w:r>
              <w:rPr>
                <w:b w:val="0"/>
                <w:i w:val="0"/>
                <w:sz w:val="17"/>
              </w:rPr>
              <w:t>Termination for convenience</w:t>
            </w:r>
          </w:p>
        </w:tc>
        <w:tc>
          <w:tcPr>
            <w:tcW w:type="dxa" w:w="3288"/>
          </w:tcPr>
          <w:p>
            <w:pPr>
              <w:spacing w:after="40" w:line="240" w:lineRule="auto"/>
            </w:pPr>
            <w:r>
              <w:rPr>
                <w:b w:val="0"/>
                <w:i w:val="0"/>
                <w:sz w:val="17"/>
              </w:rPr>
              <w:t>MSA; Order Form</w:t>
            </w:r>
          </w:p>
        </w:tc>
      </w:tr>
      <w:tr>
        <w:trPr>
          <w:cantSplit/>
        </w:trPr>
        <w:tc>
          <w:tcPr>
            <w:tcW w:type="dxa" w:w="1361"/>
          </w:tcPr>
          <w:p>
            <w:pPr>
              <w:spacing w:after="40" w:line="240" w:lineRule="auto"/>
            </w:pPr>
            <w:r>
              <w:rPr>
                <w:b/>
                <w:i w:val="0"/>
                <w:sz w:val="17"/>
              </w:rPr>
              <w:t>CL-07</w:t>
            </w:r>
          </w:p>
        </w:tc>
        <w:tc>
          <w:tcPr>
            <w:tcW w:type="dxa" w:w="4762"/>
          </w:tcPr>
          <w:p>
            <w:pPr>
              <w:spacing w:after="40" w:line="240" w:lineRule="auto"/>
            </w:pPr>
            <w:r>
              <w:rPr>
                <w:b w:val="0"/>
                <w:i w:val="0"/>
                <w:sz w:val="17"/>
              </w:rPr>
              <w:t>Fees and payment</w:t>
            </w:r>
          </w:p>
        </w:tc>
        <w:tc>
          <w:tcPr>
            <w:tcW w:type="dxa" w:w="3288"/>
          </w:tcPr>
          <w:p>
            <w:pPr>
              <w:spacing w:after="40" w:line="240" w:lineRule="auto"/>
            </w:pPr>
            <w:r>
              <w:rPr>
                <w:b w:val="0"/>
                <w:i w:val="0"/>
                <w:sz w:val="17"/>
              </w:rPr>
              <w:t>MSA; Order Form</w:t>
            </w:r>
          </w:p>
        </w:tc>
      </w:tr>
      <w:tr>
        <w:trPr>
          <w:cantSplit/>
        </w:trPr>
        <w:tc>
          <w:tcPr>
            <w:tcW w:type="dxa" w:w="1361"/>
          </w:tcPr>
          <w:p>
            <w:pPr>
              <w:spacing w:after="40" w:line="240" w:lineRule="auto"/>
            </w:pPr>
            <w:r>
              <w:rPr>
                <w:b/>
                <w:i w:val="0"/>
                <w:sz w:val="17"/>
              </w:rPr>
              <w:t>CL-08</w:t>
            </w:r>
          </w:p>
        </w:tc>
        <w:tc>
          <w:tcPr>
            <w:tcW w:type="dxa" w:w="4762"/>
          </w:tcPr>
          <w:p>
            <w:pPr>
              <w:spacing w:after="40" w:line="240" w:lineRule="auto"/>
            </w:pPr>
            <w:r>
              <w:rPr>
                <w:b w:val="0"/>
                <w:i w:val="0"/>
                <w:sz w:val="17"/>
              </w:rPr>
              <w:t>Service levels and credits</w:t>
            </w:r>
          </w:p>
        </w:tc>
        <w:tc>
          <w:tcPr>
            <w:tcW w:type="dxa" w:w="3288"/>
          </w:tcPr>
          <w:p>
            <w:pPr>
              <w:spacing w:after="40" w:line="240" w:lineRule="auto"/>
            </w:pPr>
            <w:r>
              <w:rPr>
                <w:b w:val="0"/>
                <w:i w:val="0"/>
                <w:sz w:val="17"/>
              </w:rPr>
              <w:t>Order Form; SOW</w:t>
            </w:r>
          </w:p>
        </w:tc>
      </w:tr>
      <w:tr>
        <w:trPr>
          <w:cantSplit/>
        </w:trPr>
        <w:tc>
          <w:tcPr>
            <w:tcW w:type="dxa" w:w="1361"/>
          </w:tcPr>
          <w:p>
            <w:pPr>
              <w:spacing w:after="40" w:line="240" w:lineRule="auto"/>
            </w:pPr>
            <w:r>
              <w:rPr>
                <w:b/>
                <w:i w:val="0"/>
                <w:sz w:val="17"/>
              </w:rPr>
              <w:t>CL-09</w:t>
            </w:r>
          </w:p>
        </w:tc>
        <w:tc>
          <w:tcPr>
            <w:tcW w:type="dxa" w:w="4762"/>
          </w:tcPr>
          <w:p>
            <w:pPr>
              <w:spacing w:after="40" w:line="240" w:lineRule="auto"/>
            </w:pPr>
            <w:r>
              <w:rPr>
                <w:b w:val="0"/>
                <w:i w:val="0"/>
                <w:sz w:val="17"/>
              </w:rPr>
              <w:t>Sub-processors and subcontracting</w:t>
            </w:r>
          </w:p>
        </w:tc>
        <w:tc>
          <w:tcPr>
            <w:tcW w:type="dxa" w:w="3288"/>
          </w:tcPr>
          <w:p>
            <w:pPr>
              <w:spacing w:after="40" w:line="240" w:lineRule="auto"/>
            </w:pPr>
            <w:r>
              <w:rPr>
                <w:b w:val="0"/>
                <w:i w:val="0"/>
                <w:sz w:val="17"/>
              </w:rPr>
              <w:t>MSA; DPA</w:t>
            </w:r>
          </w:p>
        </w:tc>
      </w:tr>
      <w:tr>
        <w:trPr>
          <w:cantSplit/>
        </w:trPr>
        <w:tc>
          <w:tcPr>
            <w:tcW w:type="dxa" w:w="1361"/>
          </w:tcPr>
          <w:p>
            <w:pPr>
              <w:spacing w:after="40" w:line="240" w:lineRule="auto"/>
            </w:pPr>
            <w:r>
              <w:rPr>
                <w:b/>
                <w:i w:val="0"/>
                <w:sz w:val="17"/>
              </w:rPr>
              <w:t>CL-10</w:t>
            </w:r>
          </w:p>
        </w:tc>
        <w:tc>
          <w:tcPr>
            <w:tcW w:type="dxa" w:w="4762"/>
          </w:tcPr>
          <w:p>
            <w:pPr>
              <w:spacing w:after="40" w:line="240" w:lineRule="auto"/>
            </w:pPr>
            <w:r>
              <w:rPr>
                <w:b w:val="0"/>
                <w:i w:val="0"/>
                <w:sz w:val="17"/>
              </w:rPr>
              <w:t>Governing law and disputes</w:t>
            </w:r>
          </w:p>
        </w:tc>
        <w:tc>
          <w:tcPr>
            <w:tcW w:type="dxa" w:w="3288"/>
          </w:tcPr>
          <w:p>
            <w:pPr>
              <w:spacing w:after="40" w:line="240" w:lineRule="auto"/>
            </w:pPr>
            <w:r>
              <w:rPr>
                <w:b w:val="0"/>
                <w:i w:val="0"/>
                <w:sz w:val="17"/>
              </w:rPr>
              <w:t>MSA; Order Form; NDA</w:t>
            </w:r>
          </w:p>
        </w:tc>
      </w:tr>
      <w:tr>
        <w:trPr>
          <w:cantSplit/>
        </w:trPr>
        <w:tc>
          <w:tcPr>
            <w:tcW w:type="dxa" w:w="1361"/>
          </w:tcPr>
          <w:p>
            <w:pPr>
              <w:spacing w:after="40" w:line="240" w:lineRule="auto"/>
            </w:pPr>
            <w:r>
              <w:rPr>
                <w:b/>
                <w:i w:val="0"/>
                <w:sz w:val="17"/>
              </w:rPr>
              <w:t>CL-11</w:t>
            </w:r>
          </w:p>
        </w:tc>
        <w:tc>
          <w:tcPr>
            <w:tcW w:type="dxa" w:w="4762"/>
          </w:tcPr>
          <w:p>
            <w:pPr>
              <w:spacing w:after="40" w:line="240" w:lineRule="auto"/>
            </w:pPr>
            <w:r>
              <w:rPr>
                <w:b w:val="0"/>
                <w:i w:val="0"/>
                <w:sz w:val="17"/>
              </w:rPr>
              <w:t>Assignment and change of control</w:t>
            </w:r>
          </w:p>
        </w:tc>
        <w:tc>
          <w:tcPr>
            <w:tcW w:type="dxa" w:w="3288"/>
          </w:tcPr>
          <w:p>
            <w:pPr>
              <w:spacing w:after="40" w:line="240" w:lineRule="auto"/>
            </w:pPr>
            <w:r>
              <w:rPr>
                <w:b w:val="0"/>
                <w:i w:val="0"/>
                <w:sz w:val="17"/>
              </w:rPr>
              <w:t>MSA</w:t>
            </w:r>
          </w:p>
        </w:tc>
      </w:tr>
      <w:tr>
        <w:trPr>
          <w:cantSplit/>
        </w:trPr>
        <w:tc>
          <w:tcPr>
            <w:tcW w:type="dxa" w:w="1361"/>
          </w:tcPr>
          <w:p>
            <w:pPr>
              <w:spacing w:after="40" w:line="240" w:lineRule="auto"/>
            </w:pPr>
            <w:r>
              <w:rPr>
                <w:b/>
                <w:i w:val="0"/>
                <w:sz w:val="17"/>
              </w:rPr>
              <w:t>CL-12</w:t>
            </w:r>
          </w:p>
        </w:tc>
        <w:tc>
          <w:tcPr>
            <w:tcW w:type="dxa" w:w="4762"/>
          </w:tcPr>
          <w:p>
            <w:pPr>
              <w:spacing w:after="40" w:line="240" w:lineRule="auto"/>
            </w:pPr>
            <w:r>
              <w:rPr>
                <w:b w:val="0"/>
                <w:i w:val="0"/>
                <w:sz w:val="17"/>
              </w:rPr>
              <w:t>Publicity and references</w:t>
            </w:r>
          </w:p>
        </w:tc>
        <w:tc>
          <w:tcPr>
            <w:tcW w:type="dxa" w:w="3288"/>
          </w:tcPr>
          <w:p>
            <w:pPr>
              <w:spacing w:after="40" w:line="240" w:lineRule="auto"/>
            </w:pPr>
            <w:r>
              <w:rPr>
                <w:b w:val="0"/>
                <w:i w:val="0"/>
                <w:sz w:val="17"/>
              </w:rPr>
              <w:t>MSA</w:t>
            </w:r>
          </w:p>
        </w:tc>
      </w:tr>
    </w:tbl>
    <w:p>
      <w:pPr>
        <w:spacing w:after="0"/>
      </w:pPr>
      <w:r>
        <w:br w:type="page"/>
      </w:r>
    </w:p>
    <w:p>
      <w:pPr>
        <w:pStyle w:val="Heading1"/>
        <w:spacing w:before="80"/>
      </w:pPr>
      <w:r>
        <w:t>CL-01  Limitation of liability</w:t>
      </w:r>
    </w:p>
    <w:p>
      <w:pPr>
        <w:spacing w:before="40" w:after="80"/>
      </w:pPr>
      <w:r>
        <w:rPr>
          <w:i/>
          <w:color w:val="6B6B6B"/>
          <w:sz w:val="16"/>
        </w:rPr>
        <w:t>Use for: MSA; Order Form</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Subject to Clause 11.3 (Exclusions), each party's aggregate liability arising out of or in connection with this Agreement, whether in contract, tort (including negligence), breach of statutory duty or otherwise, shall not exceed the total Fees paid or payable by Customer in the twelve (12) months immediately preceding the event giving rise to the claim. The parties agree that this limitation is a reasonable allocation of risk having regard to the Fees, the nature of the Services and the availability of insurance.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Subject to Clause 11.3, each party's aggregate liability shall not exceed the total Fees paid or payable by Customer in the twenty-four (24) months immediately preceding the event giving rise to the claim, provided that liability for breach of Clause 8 (Data Protection) shall not exceed two times the Fees paid or payable in the preceding twelve (12) months.</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Subject to Clause 11.3, Supplier's aggregate liability shall not exceed the greater of (a) the Fees paid or payable in the twelve (12) months preceding the claim and (b) £1,000,000. Customer's aggregate liability shall not exceed the Fees paid or payable in the same period. The floor in (b) applies only where it does not exceed two times the annual Fees. The parties acknowledge that the floors are intended to cover the cost of a serious service failure and are not a penalty.</w:t>
      </w:r>
    </w:p>
    <w:p>
      <w:pPr>
        <w:keepNext/>
        <w:spacing w:before="80" w:after="40"/>
      </w:pPr>
      <w:r>
        <w:rPr>
          <w:b/>
          <w:color w:val="7A5C00"/>
          <w:sz w:val="16"/>
        </w:rPr>
        <w:t>GUIDANCE</w:t>
      </w:r>
    </w:p>
    <w:p>
      <w:pPr>
        <w:spacing w:after="240"/>
        <w:ind w:left="113"/>
      </w:pPr>
      <w:r>
        <w:rPr>
          <w:b w:val="0"/>
          <w:i w:val="0"/>
          <w:sz w:val="19"/>
        </w:rPr>
        <w:t>The cap is the commercial heart of the deal. The preferred version is mutual and measured on fees, which keeps it proportionate as the account grows. Fallback 1 is for enterprise deals where the customer's procurement team will not accept a 12-month cap; the data protection super-cap is the part to watch. Fallback 2 is a floor for smaller deals where a fee-based cap would be trivially low. Never accept a cap that applies only to Bramber or an uncapped data protection category.</w:t>
      </w:r>
    </w:p>
    <w:p>
      <w:pPr>
        <w:pStyle w:val="Heading1"/>
        <w:spacing w:before="80"/>
      </w:pPr>
      <w:r>
        <w:t>CL-02  Intellectual property ownership</w:t>
      </w:r>
    </w:p>
    <w:p>
      <w:pPr>
        <w:spacing w:before="40" w:after="80"/>
      </w:pPr>
      <w:r>
        <w:rPr>
          <w:i/>
          <w:color w:val="6B6B6B"/>
          <w:sz w:val="16"/>
        </w:rPr>
        <w:t>Use for: MSA; SOW</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Supplier owns and retains all right, title and interest in and to the Platform, the Documentation, the Supplier Tools, the Supplier Background IP and all Intellectual Property Rights in them, including any improvements, modifications or derivative works made during the Term. Customer owns all right, title and interest in and to Customer Data. Subject to payment of the applicable Fees, Supplier assigns to Customer all right, title and interest in the bespoke Deliverables identified in Schedule 1, excluding the Supplier Tools and Supplier Background IP. Supplier grants Customer a perpetual, non-exclusive licence to use the Supplier Background IP embedded in the Deliverables solely as necessary to use them for Customer's internal business purposes.</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grants Customer a non-exclusive, non-transferable, non-sublicensable right to use the Deliverables for Customer's internal business purposes during the Term, and a perpetual, non-exclusive licence to use the Supplier Background IP embedded in the Deliverables after termination. Supplier retains ownership of the Platform, the Supplier Tools and the Supplier Background IP.</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The parties jointly own the bespoke Deliverables, with each party free to use, license and exploit them without accounting to the other. Supplier retains sole ownership of the Platform, the Supplier Tools and all improvements to them, and Customer retains sole ownership of Customer Data.</w:t>
      </w:r>
    </w:p>
    <w:p>
      <w:pPr>
        <w:keepNext/>
        <w:spacing w:before="80" w:after="40"/>
      </w:pPr>
      <w:r>
        <w:rPr>
          <w:b/>
          <w:color w:val="7A5C00"/>
          <w:sz w:val="16"/>
        </w:rPr>
        <w:t>GUIDANCE</w:t>
      </w:r>
    </w:p>
    <w:p>
      <w:pPr>
        <w:spacing w:after="240"/>
        <w:ind w:left="113"/>
      </w:pPr>
      <w:r>
        <w:rPr>
          <w:b w:val="0"/>
          <w:i w:val="0"/>
          <w:sz w:val="19"/>
        </w:rPr>
        <w:t>The important boundary is between the deliverable and the tools used to make it. The preferred version follows playbook IND-02: the customer owns bespoke Deliverables once paid for, while Bramber keeps the Platform and background IP. Fallback 1 is a licence-only compromise for customers that will not accept an assignment. Fallback 2 is a last resort: joint ownership sounds generous but creates practical problems on exit. Never assign the Platform or model weights.</w:t>
      </w:r>
    </w:p>
    <w:p>
      <w:pPr>
        <w:pStyle w:val="Heading1"/>
        <w:spacing w:before="80"/>
      </w:pPr>
      <w:r>
        <w:t>CL-03  Data processing</w:t>
      </w:r>
    </w:p>
    <w:p>
      <w:pPr>
        <w:spacing w:before="40" w:after="80"/>
      </w:pPr>
      <w:r>
        <w:rPr>
          <w:i/>
          <w:color w:val="6B6B6B"/>
          <w:sz w:val="16"/>
        </w:rPr>
        <w:t>Use for: MSA; DPA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The parties shall comply with the Data Processing Agreement attached as Schedule 4. Customer is the controller and Supplier is the processor of Customer Personal Data. Supplier shall process Customer Personal Data only on Customer's documented instructions, for the purposes described in Schedule 4, and shall implement the technical and organisational measures set out in that schedule.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shall process Customer Personal Data as a processor in accordance with Customer's written instructions and Applicable Data Protection Law. The parties shall enter into Customer's standard data processing agreement, provided that it does not impose obligations on Supplier that are inconsistent with this Agreement or the Security Schedule.</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Where Customer's standard data processing agreement is required by a regulator or a sector-specific rule, the parties shall negotiate it in good faith and shall not unreasonably withhold or delay agreement. Pending execution, Supplier shall process Customer Personal Data in accordance with the security schedule and Applicable Data Protection Law.</w:t>
      </w:r>
    </w:p>
    <w:p>
      <w:pPr>
        <w:keepNext/>
        <w:spacing w:before="80" w:after="40"/>
      </w:pPr>
      <w:r>
        <w:rPr>
          <w:b/>
          <w:color w:val="7A5C00"/>
          <w:sz w:val="16"/>
        </w:rPr>
        <w:t>GUIDANCE</w:t>
      </w:r>
    </w:p>
    <w:p>
      <w:pPr>
        <w:spacing w:after="240"/>
        <w:ind w:left="113"/>
      </w:pPr>
      <w:r>
        <w:rPr>
          <w:b w:val="0"/>
          <w:i w:val="0"/>
          <w:sz w:val="19"/>
        </w:rPr>
        <w:t>A DPA is not optional where personal data is processed. The preferred version incorporates our schedule and keeps the role allocation clear. Fallback 1 is common in enterprise deals; the proviso is doing the work, because customer DPAs often contain audit and liability terms that conflict with the MSA. Fallback 2 is a bridging position for regulated customers and should always have a dated completion milestone.</w:t>
      </w:r>
    </w:p>
    <w:p>
      <w:pPr>
        <w:pStyle w:val="Heading1"/>
        <w:spacing w:before="80"/>
      </w:pPr>
      <w:r>
        <w:t>CL-04  Confidentiality</w:t>
      </w:r>
    </w:p>
    <w:p>
      <w:pPr>
        <w:spacing w:before="40" w:after="80"/>
      </w:pPr>
      <w:r>
        <w:rPr>
          <w:i/>
          <w:color w:val="6B6B6B"/>
          <w:sz w:val="16"/>
        </w:rPr>
        <w:t>Use for: MSA; NDA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Each party shall keep the other's Confidential Information confidential, use it only for the purposes of this Agreement, and disclose it only to its personnel and professional advisers who need to know it and are bound by confidentiality obligations at least as protective as this Clause. These obligations survive for three (3) years after termination, except for trade secrets, which are protected for as long as they remain trade secrets.</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The confidentiality obligations in this Clause survive for five (5) years after termination. The parties acknowledge that the duration reflects the sensitivity of the information and does not extend to information that enters the public domain without breach.</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Each party may disclose the other's Confidential Information to its Affiliates and to bona fide prospective investors or acquirers, provided that the recipient is bound by a written confidentiality undertaking and the disclosing party is notified before disclosure. The disclosing party remains responsible for any breach by a recipient.</w:t>
      </w:r>
    </w:p>
    <w:p>
      <w:pPr>
        <w:keepNext/>
        <w:spacing w:before="80" w:after="40"/>
      </w:pPr>
      <w:r>
        <w:rPr>
          <w:b/>
          <w:color w:val="7A5C00"/>
          <w:sz w:val="16"/>
        </w:rPr>
        <w:t>GUIDANCE</w:t>
      </w:r>
    </w:p>
    <w:p>
      <w:pPr>
        <w:spacing w:after="240"/>
        <w:ind w:left="113"/>
      </w:pPr>
      <w:r>
        <w:rPr>
          <w:b w:val="0"/>
          <w:i w:val="0"/>
          <w:sz w:val="19"/>
        </w:rPr>
        <w:t>Five years is the usual customer ask and is an acceptable fallback for MSA confidentiality. Do not accept perpetual confidentiality for ordinary commercial information; it is not credible and it makes the carve-outs harder to operate. Fallback 2 is an addition, not a replacement, and belongs in the representatives clause rather than the survival clause.</w:t>
      </w:r>
    </w:p>
    <w:p>
      <w:pPr>
        <w:pStyle w:val="Heading1"/>
        <w:spacing w:before="80"/>
      </w:pPr>
      <w:r>
        <w:t>CL-05  Audit rights</w:t>
      </w:r>
    </w:p>
    <w:p>
      <w:pPr>
        <w:spacing w:before="40" w:after="80"/>
      </w:pPr>
      <w:r>
        <w:rPr>
          <w:i/>
          <w:color w:val="6B6B6B"/>
          <w:sz w:val="16"/>
        </w:rPr>
        <w:t>Use for: MSA; DPA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Customer may, no more than once in any twelve (12) month period and on at least thirty (30) days' prior written notice, audit Supplier's compliance with this Agreement during normal business hours. The audit shall be conducted remotely where possible, shall not interfere with Supplier's operations, and shall be limited to the records and systems relevant to the Services. The auditor shall be independent and bound by confidentiality, and shall not have access to any other customer's data. Customer shall bear the cost of the audit unless the audit reveals a material discrepancy of more than five per cent (5%) in the Fees or a material breach of the Security Schedule.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Customer may audit Supplier twice in any twelve (12) month period on at least fifteen (15) Business Days' prior written notice, subject to a maximum of five (5) auditor days per audit. The audit shall be conducted remotely unless Customer's regulator requires an on-site visit. The parties shall share the cost of an audit that is inconclusive.</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Where Customer is a regulated entity, Customer's regulator may examine Supplier's records relevant to the Services on reasonable notice, subject to confidentiality and a scope agreed in advance. Supplier shall cooperate with the examination but shall not be required to provide access to any other customer's data or to its source code.</w:t>
      </w:r>
    </w:p>
    <w:p>
      <w:pPr>
        <w:keepNext/>
        <w:spacing w:before="80" w:after="40"/>
      </w:pPr>
      <w:r>
        <w:rPr>
          <w:b/>
          <w:color w:val="7A5C00"/>
          <w:sz w:val="16"/>
        </w:rPr>
        <w:t>GUIDANCE</w:t>
      </w:r>
    </w:p>
    <w:p>
      <w:pPr>
        <w:spacing w:after="240"/>
        <w:ind w:left="113"/>
      </w:pPr>
      <w:r>
        <w:rPr>
          <w:b w:val="0"/>
          <w:i w:val="0"/>
          <w:sz w:val="19"/>
        </w:rPr>
        <w:t>The audit clause is an operational commitment, so the scope matters more than the frequency. Keep the audit remote-first and cap the auditor days. Fallback 2 is for financial services and health customers whose regulator has statutory examination powers; it is narrower than a general audit right and should be described as such.</w:t>
      </w:r>
    </w:p>
    <w:p>
      <w:pPr>
        <w:pStyle w:val="Heading1"/>
        <w:spacing w:before="80"/>
      </w:pPr>
      <w:r>
        <w:t>CL-06  Termination for convenience</w:t>
      </w:r>
    </w:p>
    <w:p>
      <w:pPr>
        <w:spacing w:before="40" w:after="80"/>
      </w:pPr>
      <w:r>
        <w:rPr>
          <w:i/>
          <w:color w:val="6B6B6B"/>
          <w:sz w:val="16"/>
        </w:rPr>
        <w:t>Use for: MSA; Order Form</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Customer may terminate an Order Form for convenience after the first twelve (12) months of the Subscription Term on ninety (90) days' written notice, provided that Customer pays all Fees accrued to the effective date of termination and any non-cancellable third-party commitments incurred by Supplier before the notice. Supplier has no right to terminate for convenience.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Customer may terminate an Order Form for convenience on sixty (60) days' written notice at any time after the first twelve (12) months, subject to an early termination charge equal to the Fees that would have been payable for the remainder of the then-current twelve (12) month period, discounted to present value.</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Customer may terminate the affected Order Form for convenience after the first twelve (12) months on ninety (90) days' written notice where Customer ceases to operate the business unit to which the Services relate or is required to do so by a change in Applicable Law, paying the Fees for the notice period and any non-cancellable third-party commitments. The termination right does not apply to a reorganisation, a change of control or a transfer of the Services to an Affiliate.</w:t>
      </w:r>
    </w:p>
    <w:p>
      <w:pPr>
        <w:keepNext/>
        <w:spacing w:before="80" w:after="40"/>
      </w:pPr>
      <w:r>
        <w:rPr>
          <w:b/>
          <w:color w:val="7A5C00"/>
          <w:sz w:val="16"/>
        </w:rPr>
        <w:t>GUIDANCE</w:t>
      </w:r>
    </w:p>
    <w:p>
      <w:pPr>
        <w:spacing w:after="240"/>
        <w:ind w:left="113"/>
      </w:pPr>
      <w:r>
        <w:rPr>
          <w:b w:val="0"/>
          <w:i w:val="0"/>
          <w:sz w:val="19"/>
        </w:rPr>
        <w:t>The preferred version gives the customer a clean exit after year one while protecting the committed year. Fallback 1 is a commercial compromise: the early termination charge is the number to negotiate, not the notice period. Fallback 2 is a narrow exit for genuine business discontinuation; it should not be widened to cover ordinary budget pressure.</w:t>
      </w:r>
    </w:p>
    <w:p>
      <w:pPr>
        <w:pStyle w:val="Heading1"/>
        <w:spacing w:before="80"/>
      </w:pPr>
      <w:r>
        <w:t>CL-07  Fees and payment</w:t>
      </w:r>
    </w:p>
    <w:p>
      <w:pPr>
        <w:spacing w:before="40" w:after="80"/>
      </w:pPr>
      <w:r>
        <w:rPr>
          <w:i/>
          <w:color w:val="6B6B6B"/>
          <w:sz w:val="16"/>
        </w:rPr>
        <w:t>Use for: MSA; Order Form</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Customer shall pay the Fees set out in the Order Form within thirty (30) days of the date of Supplier's invoice. Fees are exclusive of VAT and any other applicable taxes, which shall be paid by Customer. Customer shall notify Supplier of any disputed amount within ten (10) Business Days of the invoice date and shall pay all undisputed amounts when due. Late payment shall attract interest at four per cent (4%) above the Bank of England base rate.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Customer shall pay undisputed invoices within forty-five (45) days of the invoice date. Customer may withhold payment of a disputed amount pending resolution, provided that the dispute is notified within ten (10) Business Days and the undisputed balance is paid on time.</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Customer shall pay invoices within sixty (60) days of the invoice date where Customer is a public authority or a regulated entity subject to a statutory payment policy. Supplier may suspend the Services on thirty (30) days' written notice if undisputed Fees remain unpaid for more than sixty (60) days.</w:t>
      </w:r>
    </w:p>
    <w:p>
      <w:pPr>
        <w:keepNext/>
        <w:spacing w:before="80" w:after="40"/>
      </w:pPr>
      <w:r>
        <w:rPr>
          <w:b/>
          <w:color w:val="7A5C00"/>
          <w:sz w:val="16"/>
        </w:rPr>
        <w:t>GUIDANCE</w:t>
      </w:r>
    </w:p>
    <w:p>
      <w:pPr>
        <w:spacing w:after="240"/>
        <w:ind w:left="113"/>
      </w:pPr>
      <w:r>
        <w:rPr>
          <w:b w:val="0"/>
          <w:i w:val="0"/>
          <w:sz w:val="19"/>
        </w:rPr>
        <w:t>Payment terms are working capital, not a legal nicety. The preferred position is 30 days from invoice date, not from receipt. Fallback 2 is for public-sector customers whose payment cycle is set by statute; the suspension right is what makes the longer term tolerable. Never accept pay-when-paid or payment on customer acceptance.</w:t>
      </w:r>
    </w:p>
    <w:p>
      <w:pPr>
        <w:pStyle w:val="Heading1"/>
        <w:spacing w:before="80"/>
      </w:pPr>
      <w:r>
        <w:t>CL-08  Service levels and credits</w:t>
      </w:r>
    </w:p>
    <w:p>
      <w:pPr>
        <w:spacing w:before="40" w:after="80"/>
      </w:pPr>
      <w:r>
        <w:rPr>
          <w:i/>
          <w:color w:val="6B6B6B"/>
          <w:sz w:val="16"/>
        </w:rPr>
        <w:t>Use for: Order Form; SOW</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Supplier shall make the Production Environment available at least 99.9% of the time in each calendar month, excluding Scheduled Maintenance notified at least five (5) Business Days in advance. If Supplier fails to meet the Availability Commitment, Customer shall be entitled to a service credit calculated in accordance with Schedule 3. Service credits are Customer's sole and exclusive remedy for the failure and shall not exceed fifteen per cent (15%) of the monthly Fees in aggregate.</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shall make the Production Environment available at least 99.5% of the time in each calendar month. Service credits shall be calculated on a sliding scale and shall not exceed twenty-five per cent (25%) of the monthly Fees. Customer may terminate the affected Order Form if Availability falls below 99.5% for three (3) consecutive calendar months.</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Where Customer requires a higher Availability Commitment for a business-critical service, the parties shall agree a separate service level schedule and the Fees shall be adjusted to reflect the additional resilience, monitoring and support required. Credits for the enhanced service shall be capped at the Fees attributable to that service.</w:t>
      </w:r>
    </w:p>
    <w:p>
      <w:pPr>
        <w:keepNext/>
        <w:spacing w:before="80" w:after="40"/>
      </w:pPr>
      <w:r>
        <w:rPr>
          <w:b/>
          <w:color w:val="7A5C00"/>
          <w:sz w:val="16"/>
        </w:rPr>
        <w:t>GUIDANCE</w:t>
      </w:r>
    </w:p>
    <w:p>
      <w:pPr>
        <w:spacing w:after="240"/>
        <w:ind w:left="113"/>
      </w:pPr>
      <w:r>
        <w:rPr>
          <w:b w:val="0"/>
          <w:i w:val="0"/>
          <w:sz w:val="19"/>
        </w:rPr>
        <w:t>Credits are a price adjustment, not a penalty. The cap is more important than the percentage: an uncapped credit can wipe out a month's revenue and is effectively an unlimited liability. Fallback 2 is the right answer when a customer asks for 99.99%; it is a different service, not a different clause.</w:t>
      </w:r>
    </w:p>
    <w:p>
      <w:pPr>
        <w:pStyle w:val="Heading1"/>
        <w:spacing w:before="80"/>
      </w:pPr>
      <w:r>
        <w:t>CL-09  Sub-processors and subcontracting</w:t>
      </w:r>
    </w:p>
    <w:p>
      <w:pPr>
        <w:spacing w:before="40" w:after="80"/>
      </w:pPr>
      <w:r>
        <w:rPr>
          <w:i/>
          <w:color w:val="6B6B6B"/>
          <w:sz w:val="16"/>
        </w:rPr>
        <w:t>Use for: MSA; DPA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Supplier may appoint sub-processors to process Customer Personal Data in accordance with the Data Processing Agreement. Supplier shall maintain a current list of sub-processors, notify Customer of any addition or replacement at least thirty (30) days in advance, and give Customer a right to object on reasonable data protection grounds. Supplier remains liable for the acts and omissions of its sub-processors as if they were its own.</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shall obtain Customer's prior written consent to the appointment of any new sub-processor, such consent not to be unreasonably withheld or delayed and deemed given if Customer does not object within ten (10) Business Days. Supplier may appoint its Affiliates and its existing infrastructure providers without consent.</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Supplier may appoint sub-processors where necessary to provide the Services, provided that the sub-processor is bound by written terms no less protective than this Agreement and the Data Processing Agreement. Supplier shall notify Customer of any sub-processor that processes Customer Personal Data outside the UK or EEA before the transfer begins.</w:t>
      </w:r>
    </w:p>
    <w:p>
      <w:pPr>
        <w:keepNext/>
        <w:spacing w:before="80" w:after="40"/>
      </w:pPr>
      <w:r>
        <w:rPr>
          <w:b/>
          <w:color w:val="7A5C00"/>
          <w:sz w:val="16"/>
        </w:rPr>
        <w:t>GUIDANCE</w:t>
      </w:r>
    </w:p>
    <w:p>
      <w:pPr>
        <w:spacing w:after="240"/>
        <w:ind w:left="113"/>
      </w:pPr>
      <w:r>
        <w:rPr>
          <w:b w:val="0"/>
          <w:i w:val="0"/>
          <w:sz w:val="19"/>
        </w:rPr>
        <w:t>General authorisation with notice and objection is the workable model. Prior consent for every change is acceptable only with a deemed-approval mechanism and a carve-out for affiliates and existing infrastructure. The flow-down obligation in Fallback 2 is a floor, not a substitute for the notice and objection right.</w:t>
      </w:r>
    </w:p>
    <w:p>
      <w:pPr>
        <w:pStyle w:val="Heading1"/>
        <w:spacing w:before="80"/>
      </w:pPr>
      <w:r>
        <w:t>CL-10  Governing law and disputes</w:t>
      </w:r>
    </w:p>
    <w:p>
      <w:pPr>
        <w:spacing w:before="40" w:after="80"/>
      </w:pPr>
      <w:r>
        <w:rPr>
          <w:i/>
          <w:color w:val="6B6B6B"/>
          <w:sz w:val="16"/>
        </w:rPr>
        <w:t>Use for: MSA; Order Form; NDA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This Agreement and any dispute arising out of or in connection with it are governed by the laws of England and Wales. The parties submit to the exclusive jurisdiction of the courts of England and Wales. Before commencing proceedings, the parties shall escalate the dispute to their respective senior representatives, who shall meet within ten (10) Business Days and attempt in good faith to resolve it for a further twenty (20) Business Days.</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This Agreement is governed by the laws of the State of Delaware, and the parties submit to the exclusive jurisdiction of the state and federal courts located in Wilmington, Delaware. The escalation procedure in Clause 18.3 applies before any proceedings, except for applications for injunctive relief.</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This Agreement is governed by the laws of the Federal Republic of Germany, and the parties submit to the exclusive jurisdiction of the courts of Munich. The English language version of this Agreement prevails over any translation. The escalation procedure in Clause 18.3 applies before any proceedings.</w:t>
      </w:r>
    </w:p>
    <w:p>
      <w:pPr>
        <w:keepNext/>
        <w:spacing w:before="80" w:after="40"/>
      </w:pPr>
      <w:r>
        <w:rPr>
          <w:b/>
          <w:color w:val="7A5C00"/>
          <w:sz w:val="16"/>
        </w:rPr>
        <w:t>GUIDANCE</w:t>
      </w:r>
    </w:p>
    <w:p>
      <w:pPr>
        <w:spacing w:after="240"/>
        <w:ind w:left="113"/>
      </w:pPr>
      <w:r>
        <w:rPr>
          <w:b w:val="0"/>
          <w:i w:val="0"/>
          <w:sz w:val="19"/>
        </w:rPr>
        <w:t>English law is the default because our contracts, insurance and counsel are English. Delaware is the usual US compromise and is acceptable for US customers. German law is available for German customers where the DPA or the customer's public-sector status requires it; check that the liability and audit positions still work under German law before using Fallback 2.</w:t>
      </w:r>
    </w:p>
    <w:p>
      <w:pPr>
        <w:pStyle w:val="Heading1"/>
        <w:spacing w:before="80"/>
      </w:pPr>
      <w:r>
        <w:t>CL-11  Assignment and change of control</w:t>
      </w:r>
    </w:p>
    <w:p>
      <w:pPr>
        <w:spacing w:before="40" w:after="80"/>
      </w:pPr>
      <w:r>
        <w:rPr>
          <w:i/>
          <w:color w:val="6B6B6B"/>
          <w:sz w:val="16"/>
        </w:rPr>
        <w:t>Use for: MSA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Neither party may assign, novate or otherwise transfer this Agreement or any of its rights under it without the other party's prior written consent, except to an Affiliate or to a successor in a merger, acquisition or sale of substantially all of its assets, provided that the assignee assumes the assigning party's obligations in writing and the other party is notified within thirty (30) days.</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may assign this Agreement to an Affiliate or to a successor in a merger or sale of substantially all of its assets without consent. Customer may assign to an Affiliate without consent, but may not assign to a competitor of Supplier without Supplier's prior written consent.</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Customer may terminate this Agreement on sixty (60) days' written notice if Supplier is acquired by a direct competitor of Customer, provided that the notice is given within thirty (30) days of the acquisition and Customer pays all Fees accrued to the effective date of termination.</w:t>
      </w:r>
    </w:p>
    <w:p>
      <w:pPr>
        <w:keepNext/>
        <w:spacing w:before="80" w:after="40"/>
      </w:pPr>
      <w:r>
        <w:rPr>
          <w:b/>
          <w:color w:val="7A5C00"/>
          <w:sz w:val="16"/>
        </w:rPr>
        <w:t>GUIDANCE</w:t>
      </w:r>
    </w:p>
    <w:p>
      <w:pPr>
        <w:spacing w:after="240"/>
        <w:ind w:left="113"/>
      </w:pPr>
      <w:r>
        <w:rPr>
          <w:b w:val="0"/>
          <w:i w:val="0"/>
          <w:sz w:val="19"/>
        </w:rPr>
        <w:t>A change-of-control termination right is a financing risk. Fallback 2 is acceptable only for a named competitor list and a narrow window; do not accept a general right to terminate on any change of control. The notification obligation in the preferred version is what gives the other party visibility without a veto.</w:t>
      </w:r>
    </w:p>
    <w:p>
      <w:pPr>
        <w:pStyle w:val="Heading1"/>
        <w:spacing w:before="80"/>
      </w:pPr>
      <w:r>
        <w:t>CL-12  Publicity and references</w:t>
      </w:r>
    </w:p>
    <w:p>
      <w:pPr>
        <w:spacing w:before="40" w:after="80"/>
      </w:pPr>
      <w:r>
        <w:rPr>
          <w:i/>
          <w:color w:val="6B6B6B"/>
          <w:sz w:val="16"/>
        </w:rPr>
        <w:t>Use for: MSA</w:t>
      </w:r>
    </w:p>
    <w:p>
      <w:pPr>
        <w:keepNext/>
        <w:spacing w:before="120" w:after="20"/>
      </w:pPr>
      <w:r>
        <w:rPr>
          <w:b/>
          <w:color w:val="2E5C8A"/>
          <w:sz w:val="16"/>
        </w:rPr>
        <w:t>PREFERRED</w:t>
      </w:r>
    </w:p>
    <w:p>
      <w:pPr>
        <w:pBdr>
          <w:left w:val="single" w:sz="14" w:space="8" w:color="1F3864"/>
        </w:pBdr>
        <w:shd w:val="clear" w:color="auto" w:fill="F7F8FA"/>
        <w:spacing w:before="40" w:after="140"/>
        <w:ind w:left="312" w:right="170"/>
      </w:pPr>
      <w:r>
        <w:rPr>
          <w:b w:val="0"/>
          <w:i w:val="0"/>
          <w:sz w:val="19"/>
        </w:rPr>
        <w:t>Neither party shall use the other party's name, logo or trademarks in any press release, advertisement, case study or public communication without the other party's prior written consent. Notwithstanding the foregoing, Supplier may include Customer's name in a confidential list of reference customers provided to prospective customers under a written confidentiality obligation.</w:t>
      </w:r>
    </w:p>
    <w:p>
      <w:pPr>
        <w:keepNext/>
        <w:spacing w:before="120" w:after="20"/>
      </w:pPr>
      <w:r>
        <w:rPr>
          <w:b/>
          <w:color w:val="2E5C8A"/>
          <w:sz w:val="16"/>
        </w:rPr>
        <w:t>FALLBACK 1</w:t>
      </w:r>
    </w:p>
    <w:p>
      <w:pPr>
        <w:pBdr>
          <w:left w:val="single" w:sz="14" w:space="8" w:color="1F3864"/>
        </w:pBdr>
        <w:shd w:val="clear" w:color="auto" w:fill="F7F8FA"/>
        <w:spacing w:before="40" w:after="140"/>
        <w:ind w:left="312" w:right="170"/>
      </w:pPr>
      <w:r>
        <w:rPr>
          <w:b w:val="0"/>
          <w:i w:val="0"/>
          <w:sz w:val="19"/>
        </w:rPr>
        <w:t>Supplier may publish an anonymised case study describing the Services and the results achieved, provided that Customer has approved the facts and any quotation in writing before publication. Customer may withdraw approval on thirty (30) days' written notice.</w:t>
      </w:r>
    </w:p>
    <w:p>
      <w:pPr>
        <w:keepNext/>
        <w:spacing w:before="120" w:after="20"/>
      </w:pPr>
      <w:r>
        <w:rPr>
          <w:b/>
          <w:color w:val="2E5C8A"/>
          <w:sz w:val="16"/>
        </w:rPr>
        <w:t>FALLBACK 2</w:t>
      </w:r>
    </w:p>
    <w:p>
      <w:pPr>
        <w:pBdr>
          <w:left w:val="single" w:sz="14" w:space="8" w:color="1F3864"/>
        </w:pBdr>
        <w:shd w:val="clear" w:color="auto" w:fill="F7F8FA"/>
        <w:spacing w:before="40" w:after="140"/>
        <w:ind w:left="312" w:right="170"/>
      </w:pPr>
      <w:r>
        <w:rPr>
          <w:b w:val="0"/>
          <w:i w:val="0"/>
          <w:sz w:val="19"/>
        </w:rPr>
        <w:t>The parties shall issue a joint press release on execution in a form approved by both parties. Neither party shall make any other public statement about the relationship without the other's prior written consent, except as required by law or by the rules of a recognised stock exchange.</w:t>
      </w:r>
    </w:p>
    <w:p>
      <w:pPr>
        <w:keepNext/>
        <w:spacing w:before="80" w:after="40"/>
      </w:pPr>
      <w:r>
        <w:rPr>
          <w:b/>
          <w:color w:val="7A5C00"/>
          <w:sz w:val="16"/>
        </w:rPr>
        <w:t>GUIDANCE</w:t>
      </w:r>
    </w:p>
    <w:p>
      <w:pPr>
        <w:spacing w:after="240"/>
        <w:ind w:left="113"/>
      </w:pPr>
      <w:r>
        <w:rPr>
          <w:b w:val="0"/>
          <w:i w:val="0"/>
          <w:sz w:val="19"/>
        </w:rPr>
        <w:t>References are valuable, but consent is the default. The confidential reference list in the preferred version is usually enough for Sales. Fallback 1 is for customers who want to control the narrative; the withdrawal right is the concession. Fallback 2 is for listed customers whose announcement obligations are driven by market rules.</w:t>
      </w:r>
    </w:p>
    <w:sectPr w:rsidR="00FC693F" w:rsidRPr="0006063C" w:rsidSect="00034616">
      <w:headerReference w:type="default" r:id="rId9"/>
      <w:footerReference w:type="default" r:id="rId10"/>
      <w:pgSz w:w="11906" w:h="16838"/>
      <w:pgMar w:top="1247" w:right="1191" w:bottom="1191" w:left="119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Internal — approved drafting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Bramber Software Limited — Legal &amp; Commercial</w:t>
    </w:r>
    <w:r>
      <w:rPr>
        <w:color w:val="595959"/>
        <w:sz w:val="16"/>
      </w:rPr>
      <w:tab/>
      <w:t>Clause Library v2.6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jc w:val="both"/>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Calibri" w:hAnsi="Calibri" w:cs="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cs="Calibri" w:eastAsia="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cs="Calibri" w:eastAsia="Calibri"/>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Clause Library — Customer Contracts</dc:title>
  <dc:subject>Approved clause library</dc:subject>
  <dc:creator>Tom Whitlock</dc:creator>
  <cp:keywords/>
  <dc:description/>
  <cp:lastModifiedBy>Tom Whitlock</cp:lastModifiedBy>
  <cp:revision>1</cp:revision>
  <dcterms:created xsi:type="dcterms:W3CDTF">2026-01-12T09:00:00Z</dcterms:created>
  <dcterms:modified xsi:type="dcterms:W3CDTF">2026-01-12T09:00:00Z</dcterms:modified>
  <cp:category>Commercial legal</cp:category>
</cp:coreProperties>
</file>