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E2D74" w14:textId="77777777" w:rsidR="007573FF"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2F82A4DE" w14:textId="77777777" w:rsidR="007573FF" w:rsidRDefault="007573FF">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573FF" w14:paraId="1231A77E" w14:textId="77777777">
        <w:tc>
          <w:tcPr>
            <w:tcW w:w="4680" w:type="dxa"/>
            <w:tcMar>
              <w:top w:w="100" w:type="dxa"/>
              <w:left w:w="100" w:type="dxa"/>
              <w:bottom w:w="100" w:type="dxa"/>
              <w:right w:w="100" w:type="dxa"/>
            </w:tcMar>
          </w:tcPr>
          <w:p w14:paraId="41FB9770"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6BED85C4" w14:textId="33A5B16B" w:rsidR="007573FF" w:rsidRDefault="005F448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20/10/2026</w:t>
            </w:r>
          </w:p>
        </w:tc>
      </w:tr>
      <w:tr w:rsidR="007573FF" w14:paraId="4035A581" w14:textId="77777777">
        <w:tc>
          <w:tcPr>
            <w:tcW w:w="4680" w:type="dxa"/>
            <w:tcMar>
              <w:top w:w="100" w:type="dxa"/>
              <w:left w:w="100" w:type="dxa"/>
              <w:bottom w:w="100" w:type="dxa"/>
              <w:right w:w="100" w:type="dxa"/>
            </w:tcMar>
          </w:tcPr>
          <w:p w14:paraId="15F346D9"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30F19D8B" w14:textId="2931CB46" w:rsidR="007573FF" w:rsidRDefault="007B7D2C" w:rsidP="007B7D2C">
            <w:pPr>
              <w:pBdr>
                <w:top w:val="nil"/>
                <w:left w:val="nil"/>
                <w:bottom w:val="nil"/>
                <w:right w:val="nil"/>
                <w:between w:val="nil"/>
              </w:pBdr>
              <w:tabs>
                <w:tab w:val="center" w:pos="2240"/>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Shried</w:t>
            </w:r>
            <w:proofErr w:type="spellEnd"/>
            <w:r>
              <w:rPr>
                <w:rFonts w:ascii="Times New Roman" w:eastAsia="Times New Roman" w:hAnsi="Times New Roman" w:cs="Times New Roman"/>
                <w:sz w:val="24"/>
                <w:szCs w:val="24"/>
              </w:rPr>
              <w:t xml:space="preserve"> Mandloi</w:t>
            </w:r>
          </w:p>
        </w:tc>
      </w:tr>
      <w:tr w:rsidR="007573FF" w14:paraId="21647006" w14:textId="77777777">
        <w:tc>
          <w:tcPr>
            <w:tcW w:w="4680" w:type="dxa"/>
            <w:tcMar>
              <w:top w:w="100" w:type="dxa"/>
              <w:left w:w="100" w:type="dxa"/>
              <w:bottom w:w="100" w:type="dxa"/>
              <w:right w:w="100" w:type="dxa"/>
            </w:tcMar>
          </w:tcPr>
          <w:p w14:paraId="651B0EB1"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5A0F8B6B" w14:textId="79213B73"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Electric Vehicle Market Performance &amp; Insights</w:t>
            </w:r>
          </w:p>
        </w:tc>
      </w:tr>
      <w:tr w:rsidR="007573FF" w14:paraId="706B2AE1" w14:textId="77777777">
        <w:tc>
          <w:tcPr>
            <w:tcW w:w="4680" w:type="dxa"/>
            <w:tcMar>
              <w:top w:w="100" w:type="dxa"/>
              <w:left w:w="100" w:type="dxa"/>
              <w:bottom w:w="100" w:type="dxa"/>
              <w:right w:w="100" w:type="dxa"/>
            </w:tcMar>
          </w:tcPr>
          <w:p w14:paraId="252A5C17"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651BA3E3"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5A58FDC3" w14:textId="77777777" w:rsidR="007573FF" w:rsidRDefault="007573FF">
      <w:pPr>
        <w:widowControl/>
        <w:spacing w:after="160" w:line="120" w:lineRule="auto"/>
        <w:rPr>
          <w:rFonts w:ascii="Times New Roman" w:eastAsia="Times New Roman" w:hAnsi="Times New Roman" w:cs="Times New Roman"/>
        </w:rPr>
      </w:pPr>
    </w:p>
    <w:p w14:paraId="230BFDC7" w14:textId="77777777" w:rsidR="007573FF"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1E139044" w14:textId="77777777" w:rsidR="007573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7573FF" w14:paraId="56CBDBAD" w14:textId="77777777">
        <w:trPr>
          <w:trHeight w:val="478"/>
        </w:trPr>
        <w:tc>
          <w:tcPr>
            <w:tcW w:w="9360" w:type="dxa"/>
            <w:gridSpan w:val="2"/>
            <w:shd w:val="clear" w:color="auto" w:fill="FFFFFF"/>
            <w:tcMar>
              <w:top w:w="100" w:type="dxa"/>
              <w:left w:w="100" w:type="dxa"/>
              <w:bottom w:w="100" w:type="dxa"/>
              <w:right w:w="100" w:type="dxa"/>
            </w:tcMar>
          </w:tcPr>
          <w:p w14:paraId="6F92336D"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7573FF" w14:paraId="34270090" w14:textId="77777777">
        <w:trPr>
          <w:trHeight w:val="478"/>
        </w:trPr>
        <w:tc>
          <w:tcPr>
            <w:tcW w:w="2415" w:type="dxa"/>
            <w:tcMar>
              <w:top w:w="100" w:type="dxa"/>
              <w:left w:w="100" w:type="dxa"/>
              <w:bottom w:w="100" w:type="dxa"/>
              <w:right w:w="100" w:type="dxa"/>
            </w:tcMar>
          </w:tcPr>
          <w:p w14:paraId="65B7581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945"/>
            </w:tblGrid>
            <w:tr w:rsidR="005F448C" w:rsidRPr="005F448C" w14:paraId="7A583905" w14:textId="77777777">
              <w:trPr>
                <w:tblCellSpacing w:w="15" w:type="dxa"/>
              </w:trPr>
              <w:tc>
                <w:tcPr>
                  <w:tcW w:w="36" w:type="dxa"/>
                  <w:tcBorders>
                    <w:bottom w:val="single" w:sz="6" w:space="0" w:color="42444D"/>
                  </w:tcBorders>
                  <w:vAlign w:val="center"/>
                  <w:hideMark/>
                </w:tcPr>
                <w:p w14:paraId="0C843683"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14:paraId="472BE760" w14:textId="2F8541F8"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Analyse EV market performance and present clear insights on sales, manufacturers, vehicle categories, battery technologies, driving range, and customer satisfaction.</w:t>
                  </w:r>
                </w:p>
              </w:tc>
            </w:tr>
          </w:tbl>
          <w:p w14:paraId="45BB0E79" w14:textId="6DA921D7"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14:paraId="256BE5F3" w14:textId="77777777">
        <w:trPr>
          <w:trHeight w:val="478"/>
        </w:trPr>
        <w:tc>
          <w:tcPr>
            <w:tcW w:w="2415" w:type="dxa"/>
            <w:tcMar>
              <w:top w:w="100" w:type="dxa"/>
              <w:left w:w="100" w:type="dxa"/>
              <w:bottom w:w="100" w:type="dxa"/>
              <w:right w:w="100" w:type="dxa"/>
            </w:tcMar>
          </w:tcPr>
          <w:p w14:paraId="574D6E86"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5095FF31" w14:textId="737E06AD"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Explore available EV market data, clean and prepare it, calculate key indicators, and build visual reports or an interactive dashboard. Conclusions are limited to the fields and period available in the dataset.</w:t>
            </w:r>
          </w:p>
        </w:tc>
      </w:tr>
      <w:tr w:rsidR="007573FF" w14:paraId="2F612262" w14:textId="77777777">
        <w:trPr>
          <w:trHeight w:val="478"/>
        </w:trPr>
        <w:tc>
          <w:tcPr>
            <w:tcW w:w="9360" w:type="dxa"/>
            <w:gridSpan w:val="2"/>
            <w:shd w:val="clear" w:color="auto" w:fill="FFFFFF"/>
            <w:tcMar>
              <w:top w:w="100" w:type="dxa"/>
              <w:left w:w="100" w:type="dxa"/>
              <w:bottom w:w="100" w:type="dxa"/>
              <w:right w:w="100" w:type="dxa"/>
            </w:tcMar>
          </w:tcPr>
          <w:p w14:paraId="37616B60"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7573FF" w14:paraId="3216A039" w14:textId="77777777">
        <w:trPr>
          <w:trHeight w:val="478"/>
        </w:trPr>
        <w:tc>
          <w:tcPr>
            <w:tcW w:w="2415" w:type="dxa"/>
            <w:tcMar>
              <w:top w:w="100" w:type="dxa"/>
              <w:left w:w="100" w:type="dxa"/>
              <w:bottom w:w="100" w:type="dxa"/>
              <w:right w:w="100" w:type="dxa"/>
            </w:tcMar>
          </w:tcPr>
          <w:p w14:paraId="3C70E1A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518D3AD3" w14:textId="518FCAAE"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EV market information is spread across multiple metrics and vehicle segments, making it difficult to compare manufacturers, technologies, regions, and customer feedback in one place.</w:t>
            </w:r>
          </w:p>
        </w:tc>
      </w:tr>
      <w:tr w:rsidR="007573FF" w14:paraId="371D3ADD" w14:textId="77777777">
        <w:trPr>
          <w:trHeight w:val="478"/>
        </w:trPr>
        <w:tc>
          <w:tcPr>
            <w:tcW w:w="2415" w:type="dxa"/>
            <w:tcMar>
              <w:top w:w="100" w:type="dxa"/>
              <w:left w:w="100" w:type="dxa"/>
              <w:bottom w:w="100" w:type="dxa"/>
              <w:right w:w="100" w:type="dxa"/>
            </w:tcMar>
          </w:tcPr>
          <w:p w14:paraId="290D6FF1"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Mar>
              <w:top w:w="100" w:type="dxa"/>
              <w:left w:w="100" w:type="dxa"/>
              <w:bottom w:w="100" w:type="dxa"/>
              <w:right w:w="100" w:type="dxa"/>
            </w:tcMar>
          </w:tcPr>
          <w:p w14:paraId="038C441A" w14:textId="733D547D"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 consolidated view can reduce manual comparison effort, make trends easier to identify, and support market planning, product positioning, and sustainable-mobility research.</w:t>
            </w:r>
          </w:p>
        </w:tc>
      </w:tr>
      <w:tr w:rsidR="007573FF" w14:paraId="6D6A7E85" w14:textId="77777777">
        <w:trPr>
          <w:trHeight w:val="478"/>
        </w:trPr>
        <w:tc>
          <w:tcPr>
            <w:tcW w:w="9360" w:type="dxa"/>
            <w:gridSpan w:val="2"/>
            <w:shd w:val="clear" w:color="auto" w:fill="FFFFFF"/>
            <w:tcMar>
              <w:top w:w="100" w:type="dxa"/>
              <w:left w:w="100" w:type="dxa"/>
              <w:bottom w:w="100" w:type="dxa"/>
              <w:right w:w="100" w:type="dxa"/>
            </w:tcMar>
          </w:tcPr>
          <w:p w14:paraId="77680A92" w14:textId="77777777" w:rsidR="007573FF"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7573FF" w14:paraId="741F5EE8" w14:textId="77777777">
        <w:trPr>
          <w:trHeight w:val="478"/>
        </w:trPr>
        <w:tc>
          <w:tcPr>
            <w:tcW w:w="2415" w:type="dxa"/>
            <w:tcMar>
              <w:top w:w="100" w:type="dxa"/>
              <w:left w:w="100" w:type="dxa"/>
              <w:bottom w:w="100" w:type="dxa"/>
              <w:right w:w="100" w:type="dxa"/>
            </w:tcMar>
          </w:tcPr>
          <w:p w14:paraId="29849B58"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
              <w:gridCol w:w="8945"/>
            </w:tblGrid>
            <w:tr w:rsidR="005F448C" w:rsidRPr="005F448C" w14:paraId="008E3F91" w14:textId="77777777">
              <w:trPr>
                <w:tblCellSpacing w:w="15" w:type="dxa"/>
              </w:trPr>
              <w:tc>
                <w:tcPr>
                  <w:tcW w:w="36" w:type="dxa"/>
                  <w:tcBorders>
                    <w:bottom w:val="single" w:sz="6" w:space="0" w:color="42444D"/>
                  </w:tcBorders>
                  <w:vAlign w:val="center"/>
                  <w:hideMark/>
                </w:tcPr>
                <w:p w14:paraId="78FC9ABE"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8900" w:type="dxa"/>
                  <w:tcBorders>
                    <w:bottom w:val="single" w:sz="6" w:space="0" w:color="42444D"/>
                  </w:tcBorders>
                  <w:vAlign w:val="center"/>
                  <w:hideMark/>
                </w:tcPr>
                <w:p w14:paraId="0DC959FF" w14:textId="77777777" w:rsidR="005F448C" w:rsidRPr="005F448C" w:rsidRDefault="005F448C" w:rsidP="005F448C">
                  <w:pPr>
                    <w:widowControl/>
                    <w:rPr>
                      <w:rFonts w:ascii="Arial" w:eastAsia="Times New Roman" w:hAnsi="Arial" w:cs="Arial"/>
                      <w:sz w:val="21"/>
                      <w:szCs w:val="21"/>
                      <w:lang w:val="en-IN"/>
                    </w:rPr>
                  </w:pPr>
                  <w:r w:rsidRPr="005F448C">
                    <w:rPr>
                      <w:rFonts w:ascii="Arial" w:eastAsia="Times New Roman" w:hAnsi="Arial" w:cs="Arial"/>
                      <w:sz w:val="21"/>
                      <w:szCs w:val="21"/>
                      <w:lang w:val="en-IN"/>
                    </w:rPr>
                    <w:t xml:space="preserve">Import the dataset, validate and clean records, standardize categories, </w:t>
                  </w:r>
                  <w:proofErr w:type="spellStart"/>
                  <w:r w:rsidRPr="005F448C">
                    <w:rPr>
                      <w:rFonts w:ascii="Arial" w:eastAsia="Times New Roman" w:hAnsi="Arial" w:cs="Arial"/>
                      <w:sz w:val="21"/>
                      <w:szCs w:val="21"/>
                      <w:lang w:val="en-IN"/>
                    </w:rPr>
                    <w:t>analyze</w:t>
                  </w:r>
                  <w:proofErr w:type="spellEnd"/>
                  <w:r w:rsidRPr="005F448C">
                    <w:rPr>
                      <w:rFonts w:ascii="Arial" w:eastAsia="Times New Roman" w:hAnsi="Arial" w:cs="Arial"/>
                      <w:sz w:val="21"/>
                      <w:szCs w:val="21"/>
                      <w:lang w:val="en-IN"/>
                    </w:rPr>
                    <w:t xml:space="preserve"> KPIs, and present findings with charts, KPI cards, filters, and comparisons.</w:t>
                  </w:r>
                </w:p>
              </w:tc>
            </w:tr>
          </w:tbl>
          <w:p w14:paraId="5F484F84" w14:textId="05110515" w:rsidR="007573FF" w:rsidRDefault="007573FF">
            <w:pPr>
              <w:pBdr>
                <w:top w:val="nil"/>
                <w:left w:val="nil"/>
                <w:bottom w:val="nil"/>
                <w:right w:val="nil"/>
                <w:between w:val="nil"/>
              </w:pBdr>
              <w:rPr>
                <w:rFonts w:ascii="Times New Roman" w:eastAsia="Times New Roman" w:hAnsi="Times New Roman" w:cs="Times New Roman"/>
                <w:sz w:val="24"/>
                <w:szCs w:val="24"/>
              </w:rPr>
            </w:pPr>
          </w:p>
        </w:tc>
      </w:tr>
      <w:tr w:rsidR="007573FF" w14:paraId="399AA6E3" w14:textId="77777777">
        <w:trPr>
          <w:trHeight w:val="478"/>
        </w:trPr>
        <w:tc>
          <w:tcPr>
            <w:tcW w:w="2415" w:type="dxa"/>
            <w:tcMar>
              <w:top w:w="100" w:type="dxa"/>
              <w:left w:w="100" w:type="dxa"/>
              <w:bottom w:w="100" w:type="dxa"/>
              <w:right w:w="100" w:type="dxa"/>
            </w:tcMar>
          </w:tcPr>
          <w:p w14:paraId="7288CFF5" w14:textId="77777777" w:rsidR="007573FF"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059ED694" w14:textId="38AAE217" w:rsidR="007573FF" w:rsidRDefault="005F448C">
            <w:pPr>
              <w:pBdr>
                <w:top w:val="nil"/>
                <w:left w:val="nil"/>
                <w:bottom w:val="nil"/>
                <w:right w:val="nil"/>
                <w:between w:val="nil"/>
              </w:pBd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Annual EV sales analysis; manufacturer and market-share comparison; battery technology distribution; driving-range and </w:t>
            </w:r>
            <w:r w:rsidRPr="005F448C">
              <w:rPr>
                <w:rFonts w:ascii="Times New Roman" w:eastAsia="Times New Roman" w:hAnsi="Times New Roman" w:cs="Times New Roman"/>
                <w:sz w:val="24"/>
                <w:szCs w:val="24"/>
              </w:rPr>
              <w:lastRenderedPageBreak/>
              <w:t>battery-capacity comparison; manufacturing-country analysis; customer-rating insights.</w:t>
            </w:r>
          </w:p>
        </w:tc>
      </w:tr>
    </w:tbl>
    <w:p w14:paraId="7D011200" w14:textId="77777777" w:rsidR="007573FF" w:rsidRDefault="007573FF">
      <w:pPr>
        <w:widowControl/>
        <w:spacing w:after="160" w:line="120" w:lineRule="auto"/>
        <w:rPr>
          <w:rFonts w:ascii="Times New Roman" w:eastAsia="Times New Roman" w:hAnsi="Times New Roman" w:cs="Times New Roman"/>
          <w:sz w:val="24"/>
          <w:szCs w:val="24"/>
        </w:rPr>
      </w:pPr>
    </w:p>
    <w:p w14:paraId="2D1C8B67" w14:textId="77777777" w:rsidR="007573FF"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573FF" w14:paraId="1E15D543"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B1CBC92"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87AF1D2"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F9BFBBF"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7573FF" w14:paraId="7A9D0CB3"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A31D04"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7573FF" w14:paraId="34C1FC8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FD1E98"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8B98E5" w14:textId="4A024F98"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Computer or laptop for data processing and dashboard development.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753D6B" w14:textId="7A23AB17"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Standard laptop/PC; CPU and RAM depend on dataset size.</w:t>
            </w:r>
          </w:p>
        </w:tc>
      </w:tr>
      <w:tr w:rsidR="007573FF" w14:paraId="65AB506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0910C"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C924F7" w14:textId="6CBAB990"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RAM for loading, cleaning, and analyzing the 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9C0CFF" w14:textId="6A9A90AD"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b/>
                <w:bCs/>
                <w:sz w:val="24"/>
                <w:szCs w:val="24"/>
              </w:rPr>
              <w:t>8 GB RAM recommended</w:t>
            </w:r>
            <w:r w:rsidRPr="005F448C">
              <w:rPr>
                <w:rFonts w:ascii="Times New Roman" w:eastAsia="Times New Roman" w:hAnsi="Times New Roman" w:cs="Times New Roman"/>
                <w:sz w:val="24"/>
                <w:szCs w:val="24"/>
              </w:rPr>
              <w:t xml:space="preserve">; </w:t>
            </w:r>
            <w:r w:rsidRPr="005F448C">
              <w:rPr>
                <w:rFonts w:ascii="Times New Roman" w:eastAsia="Times New Roman" w:hAnsi="Times New Roman" w:cs="Times New Roman"/>
                <w:b/>
                <w:bCs/>
                <w:sz w:val="24"/>
                <w:szCs w:val="24"/>
              </w:rPr>
              <w:t>16 GB helpful</w:t>
            </w:r>
            <w:r w:rsidRPr="005F448C">
              <w:rPr>
                <w:rFonts w:ascii="Times New Roman" w:eastAsia="Times New Roman" w:hAnsi="Times New Roman" w:cs="Times New Roman"/>
                <w:sz w:val="24"/>
                <w:szCs w:val="24"/>
              </w:rPr>
              <w:t xml:space="preserve"> for larger datasets.</w:t>
            </w:r>
          </w:p>
        </w:tc>
      </w:tr>
      <w:tr w:rsidR="007573FF" w14:paraId="209738AC"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837667C"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gridCol w:w="110"/>
            </w:tblGrid>
            <w:tr w:rsidR="005F448C" w:rsidRPr="005F448C" w14:paraId="62B97601" w14:textId="00E349D7" w:rsidTr="005F448C">
              <w:trPr>
                <w:tblCellSpacing w:w="15" w:type="dxa"/>
              </w:trPr>
              <w:tc>
                <w:tcPr>
                  <w:tcW w:w="65" w:type="dxa"/>
                  <w:tcBorders>
                    <w:bottom w:val="single" w:sz="6" w:space="0" w:color="42444D"/>
                  </w:tcBorders>
                  <w:vAlign w:val="center"/>
                  <w:hideMark/>
                </w:tcPr>
                <w:p w14:paraId="409FC5C3" w14:textId="77777777" w:rsidR="005F448C" w:rsidRPr="005F448C" w:rsidRDefault="005F448C" w:rsidP="005F448C">
                  <w:pPr>
                    <w:widowControl/>
                    <w:rPr>
                      <w:rFonts w:ascii="Times New Roman" w:eastAsia="Times New Roman" w:hAnsi="Times New Roman" w:cs="Times New Roman"/>
                      <w:sz w:val="24"/>
                      <w:szCs w:val="24"/>
                      <w:lang w:val="en-IN"/>
                    </w:rPr>
                  </w:pPr>
                </w:p>
              </w:tc>
              <w:tc>
                <w:tcPr>
                  <w:tcW w:w="65" w:type="dxa"/>
                  <w:tcBorders>
                    <w:bottom w:val="single" w:sz="6" w:space="0" w:color="42444D"/>
                  </w:tcBorders>
                </w:tcPr>
                <w:p w14:paraId="2A947886" w14:textId="77777777" w:rsidR="005F448C" w:rsidRPr="005F448C" w:rsidRDefault="005F448C" w:rsidP="005F448C">
                  <w:pPr>
                    <w:widowControl/>
                    <w:rPr>
                      <w:rFonts w:ascii="Times New Roman" w:eastAsia="Times New Roman" w:hAnsi="Times New Roman" w:cs="Times New Roman"/>
                      <w:sz w:val="24"/>
                      <w:szCs w:val="24"/>
                      <w:lang w:val="en-IN"/>
                    </w:rPr>
                  </w:pPr>
                </w:p>
              </w:tc>
            </w:tr>
          </w:tbl>
          <w:p w14:paraId="0063ADAB" w14:textId="7569A419"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Space for raw data, cleaned data, project files, reports, and backups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0A2E19" w14:textId="16D1A9BE"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 xml:space="preserve">At least </w:t>
            </w:r>
            <w:r w:rsidRPr="005F448C">
              <w:rPr>
                <w:rFonts w:ascii="Times New Roman" w:eastAsia="Times New Roman" w:hAnsi="Times New Roman" w:cs="Times New Roman"/>
                <w:b/>
                <w:bCs/>
                <w:sz w:val="24"/>
                <w:szCs w:val="24"/>
              </w:rPr>
              <w:t>5–10 GB free space</w:t>
            </w:r>
            <w:r w:rsidRPr="005F448C">
              <w:rPr>
                <w:rFonts w:ascii="Times New Roman" w:eastAsia="Times New Roman" w:hAnsi="Times New Roman" w:cs="Times New Roman"/>
                <w:sz w:val="24"/>
                <w:szCs w:val="24"/>
              </w:rPr>
              <w:t>, depending on dataset size.</w:t>
            </w:r>
          </w:p>
        </w:tc>
      </w:tr>
      <w:tr w:rsidR="007573FF" w14:paraId="327071D7"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65DA31"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7573FF" w14:paraId="5662381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CC13C8"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61FAEDC" w14:textId="49989652"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Tool to clean data, calculate metrics, and create charts or dashboard.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83E12C" w14:textId="229BEFB6"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Tableau, Excel, or Python libraries—use the tool actually selected.</w:t>
            </w:r>
          </w:p>
        </w:tc>
      </w:tr>
      <w:tr w:rsidR="007573FF" w14:paraId="691BBFB6"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F964A"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0561FD" w14:textId="649306A3"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Optional libraries for data cleaning and analysis if using Python.</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8CD6DD" w14:textId="37210713"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Pandas, NumPy, Matplotlib/Seaborn (only if Python is used).</w:t>
            </w:r>
          </w:p>
        </w:tc>
      </w:tr>
      <w:tr w:rsidR="007573FF" w14:paraId="3AA68E0E"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96AABE"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7211E00" w14:textId="1B82D4D4"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Application used to edit, analyze, and manage project files.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88E42E" w14:textId="575E326B"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Power BI Desktop / Excel / Jupyter Notebook / VS Code, as applicable.</w:t>
            </w:r>
          </w:p>
        </w:tc>
      </w:tr>
      <w:tr w:rsidR="007573FF" w14:paraId="1C81E525"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484A8" w14:textId="77777777" w:rsidR="007573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7573FF" w14:paraId="638DDEB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407430" w14:textId="77777777" w:rsidR="007573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B634AC" w14:textId="0E654746"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Source and fields for sales, manufacturer, vehicle type, battery specifications, range, country, and customer ratings.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0F7F27" w14:textId="10A58767" w:rsidR="007573FF" w:rsidRDefault="005F448C">
            <w:pPr>
              <w:rPr>
                <w:rFonts w:ascii="Times New Roman" w:eastAsia="Times New Roman" w:hAnsi="Times New Roman" w:cs="Times New Roman"/>
                <w:sz w:val="24"/>
                <w:szCs w:val="24"/>
              </w:rPr>
            </w:pPr>
            <w:r w:rsidRPr="005F448C">
              <w:rPr>
                <w:rFonts w:ascii="Times New Roman" w:eastAsia="Times New Roman" w:hAnsi="Times New Roman" w:cs="Times New Roman"/>
                <w:sz w:val="24"/>
                <w:szCs w:val="24"/>
              </w:rPr>
              <w:t>CSV/Excel or other available dataset; record source, time period, row count, and data limitations.</w:t>
            </w:r>
          </w:p>
        </w:tc>
      </w:tr>
    </w:tbl>
    <w:p w14:paraId="54A72EA9" w14:textId="77777777" w:rsidR="007573FF" w:rsidRDefault="007573FF">
      <w:pPr>
        <w:widowControl/>
        <w:spacing w:after="160" w:line="259" w:lineRule="auto"/>
        <w:rPr>
          <w:rFonts w:ascii="Times New Roman" w:eastAsia="Times New Roman" w:hAnsi="Times New Roman" w:cs="Times New Roman"/>
          <w:sz w:val="24"/>
          <w:szCs w:val="24"/>
        </w:rPr>
      </w:pPr>
    </w:p>
    <w:p w14:paraId="2CB5EB1A" w14:textId="77777777" w:rsidR="007573FF" w:rsidRDefault="007573FF">
      <w:pPr>
        <w:widowControl/>
        <w:spacing w:after="160" w:line="259" w:lineRule="auto"/>
        <w:rPr>
          <w:rFonts w:ascii="Times New Roman" w:eastAsia="Times New Roman" w:hAnsi="Times New Roman" w:cs="Times New Roman"/>
        </w:rPr>
      </w:pPr>
    </w:p>
    <w:sectPr w:rsidR="007573FF">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ECED7" w14:textId="77777777" w:rsidR="00DA5D19" w:rsidRDefault="00DA5D19">
      <w:r>
        <w:separator/>
      </w:r>
    </w:p>
  </w:endnote>
  <w:endnote w:type="continuationSeparator" w:id="0">
    <w:p w14:paraId="71CBDF7A" w14:textId="77777777" w:rsidR="00DA5D19" w:rsidRDefault="00DA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46D8BF5-0DA2-4092-AC23-AB625C53DFAE}"/>
    <w:embedBold r:id="rId2" w:fontKey="{E6BEF0F3-F245-48DB-BEB0-77D9CA3356E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0B47CF7-071B-4C9F-8F77-F5544123CEA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4" w:fontKey="{5904D599-DD0F-4836-8671-9D7F5CA2C6D9}"/>
  </w:font>
  <w:font w:name="Cambria">
    <w:panose1 w:val="02040503050406030204"/>
    <w:charset w:val="00"/>
    <w:family w:val="roman"/>
    <w:pitch w:val="variable"/>
    <w:sig w:usb0="E00006FF" w:usb1="420024FF" w:usb2="02000000" w:usb3="00000000" w:csb0="0000019F" w:csb1="00000000"/>
    <w:embedRegular r:id="rId5" w:fontKey="{D596E100-B8F2-4BFC-B606-4587B7B8A2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94653" w14:textId="77777777" w:rsidR="00DA5D19" w:rsidRDefault="00DA5D19">
      <w:r>
        <w:separator/>
      </w:r>
    </w:p>
  </w:footnote>
  <w:footnote w:type="continuationSeparator" w:id="0">
    <w:p w14:paraId="4462FE92" w14:textId="77777777" w:rsidR="00DA5D19" w:rsidRDefault="00DA5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EF417" w14:textId="77777777" w:rsidR="007573FF" w:rsidRDefault="00000000">
    <w:pPr>
      <w:jc w:val="both"/>
    </w:pPr>
    <w:r>
      <w:rPr>
        <w:noProof/>
      </w:rPr>
      <w:drawing>
        <wp:anchor distT="114300" distB="114300" distL="114300" distR="114300" simplePos="0" relativeHeight="251658240" behindDoc="0" locked="0" layoutInCell="1" hidden="0" allowOverlap="1" wp14:anchorId="5E8928AF" wp14:editId="4EEAAD9F">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1606F957" w14:textId="77777777" w:rsidR="007573FF" w:rsidRDefault="007573FF"/>
  <w:p w14:paraId="2498300F" w14:textId="77777777" w:rsidR="007573FF" w:rsidRDefault="007573F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3FF"/>
    <w:rsid w:val="005A1EDC"/>
    <w:rsid w:val="005F448C"/>
    <w:rsid w:val="007573FF"/>
    <w:rsid w:val="007B7D2C"/>
    <w:rsid w:val="008C5DAB"/>
    <w:rsid w:val="00DA5D19"/>
    <w:rsid w:val="00EB52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44E7"/>
  <w15:docId w15:val="{45D37DCC-6393-4E62-B19D-D729B461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kapadia</dc:creator>
  <cp:lastModifiedBy>Prabhakar Mandloi</cp:lastModifiedBy>
  <cp:revision>3</cp:revision>
  <dcterms:created xsi:type="dcterms:W3CDTF">2026-10-21T11:53:00Z</dcterms:created>
  <dcterms:modified xsi:type="dcterms:W3CDTF">2026-10-21T17:09:00Z</dcterms:modified>
</cp:coreProperties>
</file>