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Aptos Display" w:hAnsi="Aptos Display"/>
          <w:b/>
          <w:color w:val="276EF1"/>
          <w:sz w:val="36"/>
        </w:rPr>
        <w:t>ORCHPILOT</w:t>
      </w:r>
    </w:p>
    <w:p>
      <w:pPr>
        <w:spacing w:after="320"/>
      </w:pPr>
      <w:r>
        <w:rPr>
          <w:rFonts w:ascii="Aptos Display" w:hAnsi="Aptos Display"/>
          <w:b/>
          <w:color w:val="0B1736"/>
          <w:sz w:val="68"/>
        </w:rPr>
        <w:t>The governed orchestration layer</w:t>
        <w:br/>
        <w:t>for people, systems and AI</w:t>
      </w:r>
    </w:p>
    <w:p>
      <w:pPr>
        <w:spacing w:after="700"/>
      </w:pPr>
      <w:r>
        <w:rPr>
          <w:color w:val="586174"/>
          <w:sz w:val="30"/>
        </w:rPr>
        <w:t>Investor strategy, product analysis, competitive positioning and 18-month roadmap</w:t>
      </w:r>
    </w:p>
    <w:p>
      <w:r>
        <w:br w:type="page"/>
      </w:r>
    </w:p>
    <w:p>
      <w:pPr>
        <w:pStyle w:val="Heading1"/>
      </w:pPr>
      <w:r>
        <w:t>Product at a glance</w:t>
      </w:r>
    </w:p>
    <w:p>
      <w:pPr>
        <w:spacing w:before="100" w:after="60"/>
        <w:jc w:val="center"/>
      </w:pPr>
      <w:r>
        <w:drawing>
          <wp:inline xmlns:a="http://schemas.openxmlformats.org/drawingml/2006/main" xmlns:pic="http://schemas.openxmlformats.org/drawingml/2006/picture">
            <wp:extent cx="5852160" cy="5191661"/>
            <wp:docPr id="1" name="Picture 1"/>
            <wp:cNvGraphicFramePr>
              <a:graphicFrameLocks noChangeAspect="1"/>
            </wp:cNvGraphicFramePr>
            <a:graphic>
              <a:graphicData uri="http://schemas.openxmlformats.org/drawingml/2006/picture">
                <pic:pic>
                  <pic:nvPicPr>
                    <pic:cNvPr id="0" name="03-workflow-designer.png"/>
                    <pic:cNvPicPr/>
                  </pic:nvPicPr>
                  <pic:blipFill>
                    <a:blip r:embed="rId11"/>
                    <a:stretch>
                      <a:fillRect/>
                    </a:stretch>
                  </pic:blipFill>
                  <pic:spPr>
                    <a:xfrm>
                      <a:off x="0" y="0"/>
                      <a:ext cx="5852160" cy="5191661"/>
                    </a:xfrm>
                    <a:prstGeom prst="rect"/>
                  </pic:spPr>
                </pic:pic>
              </a:graphicData>
            </a:graphic>
          </wp:inline>
        </w:drawing>
      </w:r>
    </w:p>
    <w:p>
      <w:pPr>
        <w:spacing w:after="160"/>
        <w:jc w:val="center"/>
      </w:pPr>
      <w:r>
        <w:rPr>
          <w:i/>
          <w:color w:val="586174"/>
          <w:sz w:val="17"/>
        </w:rPr>
        <w:t>The working OrchPilot workflow designer: AI, deterministic flow and human steps in one canvas.</w:t>
      </w:r>
    </w:p>
    <w:tbl>
      <w:tblPr>
        <w:tblW w:type="auto" w:w="0"/>
        <w:jc w:val="center"/>
        <w:tblLayout w:type="fixed"/>
        <w:tblLook w:firstColumn="1" w:firstRow="1" w:lastColumn="0" w:lastRow="0" w:noHBand="0" w:noVBand="1" w:val="04A0"/>
      </w:tblPr>
      <w:tblGrid>
        <w:gridCol w:w="9720"/>
      </w:tblGrid>
      <w:tr>
        <w:tc>
          <w:tcPr>
            <w:tcW w:type="dxa" w:w="9878"/>
            <w:shd w:fill="F4F6F9"/>
            <w:vAlign w:val="center"/>
          </w:tcPr>
          <w:p>
            <w:pPr>
              <w:spacing w:after="40"/>
            </w:pPr>
            <w:r/>
            <w:r>
              <w:rPr>
                <w:rFonts w:ascii="Aptos" w:hAnsi="Aptos"/>
                <w:b/>
                <w:color w:val="0B1736"/>
                <w:sz w:val="21"/>
              </w:rPr>
              <w:t>Status: working product foundation with deep engineering evidence; commercial traction, founder story, raise amount and customer ROI remain to be supplied before external circulation.</w:t>
            </w:r>
          </w:p>
        </w:tc>
      </w:tr>
    </w:tbl>
    <w:p>
      <w:pPr>
        <w:spacing w:after="20"/>
      </w:pPr>
    </w:p>
    <w:p>
      <w:r>
        <w:br w:type="page"/>
      </w:r>
    </w:p>
    <w:p>
      <w:pPr>
        <w:pStyle w:val="Heading1"/>
      </w:pPr>
      <w:r>
        <w:t>Executive summary</w:t>
      </w:r>
    </w:p>
    <w:p>
      <w:r>
        <w:t>OrchPilot is an extensible workflow execution platform designed to coordinate long-running work across software systems, people and AI agents. Its strongest investment thesis is not generic no-code automation. The credible wedge is governed orchestration for organizations where approvals, exceptions, audit evidence, deployment control and recovery are materially valuable.</w:t>
      </w:r>
    </w:p>
    <w:tbl>
      <w:tblPr>
        <w:tblW w:type="auto" w:w="0"/>
        <w:jc w:val="center"/>
        <w:tblLayout w:type="fixed"/>
        <w:tblLook w:firstColumn="1" w:firstRow="1" w:lastColumn="0" w:lastRow="0" w:noHBand="0" w:noVBand="1" w:val="04A0"/>
      </w:tblPr>
      <w:tblGrid>
        <w:gridCol w:w="9720"/>
      </w:tblGrid>
      <w:tr>
        <w:tc>
          <w:tcPr>
            <w:tcW w:type="dxa" w:w="9878"/>
            <w:shd w:fill="EDF4FF"/>
            <w:vAlign w:val="center"/>
          </w:tcPr>
          <w:p>
            <w:pPr>
              <w:spacing w:after="40"/>
            </w:pPr>
            <w:r/>
            <w:r>
              <w:rPr>
                <w:rFonts w:ascii="Aptos" w:hAnsi="Aptos"/>
                <w:b/>
                <w:color w:val="0B1736"/>
                <w:sz w:val="21"/>
              </w:rPr>
              <w:t>Investor thesis: OrchPilot can occupy the governed middle between easy-to-use automation tools and code-first durable execution platforms.</w:t>
            </w:r>
          </w:p>
        </w:tc>
      </w:tr>
    </w:tbl>
    <w:p>
      <w:pPr>
        <w:spacing w:after="20"/>
      </w:pPr>
    </w:p>
    <w:p>
      <w:pPr>
        <w:pStyle w:val="Heading2"/>
      </w:pPr>
      <w:r>
        <w:t>What is already credible</w:t>
      </w:r>
    </w:p>
    <w:p>
      <w:pPr>
        <w:pStyle w:val="ListBullet"/>
        <w:spacing w:after="80"/>
      </w:pPr>
      <w:r>
        <w:t>A real execution engine with immutable workflow versions, checkpointed state, retries, compensation, synchronous/asynchronous/scheduled/event-driven modes and cluster-aware claiming.</w:t>
      </w:r>
    </w:p>
    <w:p>
      <w:pPr>
        <w:pStyle w:val="ListBullet"/>
        <w:spacing w:after="80"/>
      </w:pPr>
      <w:r>
        <w:t>Human tasks as first-class workflow participants, including forms, assignment, claiming, drafts, expiration, reassignment and auditable history.</w:t>
      </w:r>
    </w:p>
    <w:p>
      <w:pPr>
        <w:pStyle w:val="ListBullet"/>
        <w:spacing w:after="80"/>
      </w:pPr>
      <w:r>
        <w:t>Runtime plugin loading: validated JARs stored in GridFS, loaded with isolated classloaders and registered as new node types without rebuilding the engine.</w:t>
      </w:r>
    </w:p>
    <w:p>
      <w:pPr>
        <w:pStyle w:val="ListBullet"/>
        <w:spacing w:after="80"/>
      </w:pPr>
      <w:r>
        <w:t>Enterprise control primitives: RBAC, JWT authentication, Argon2id password hashing, encrypted secrets, security audit logs and server-side validation.</w:t>
      </w:r>
    </w:p>
    <w:p>
      <w:pPr>
        <w:pStyle w:val="ListBullet"/>
        <w:spacing w:after="80"/>
      </w:pPr>
      <w:r>
        <w:t>AI agent nodes and provider management that keep adaptive reasoning inside deterministic workflow boundaries.</w:t>
      </w:r>
    </w:p>
    <w:p>
      <w:pPr>
        <w:pStyle w:val="Heading2"/>
      </w:pPr>
      <w:r>
        <w:t>What investors will still need</w:t>
      </w:r>
    </w:p>
    <w:p>
      <w:pPr>
        <w:pStyle w:val="ListBullet"/>
        <w:spacing w:after="80"/>
      </w:pPr>
      <w:r>
        <w:t>A narrow beachhead and five design partners with quantified process baselines.</w:t>
      </w:r>
    </w:p>
    <w:p>
      <w:pPr>
        <w:pStyle w:val="ListBullet"/>
        <w:spacing w:after="80"/>
      </w:pPr>
      <w:r>
        <w:t>Enterprise readiness proof: SSO/SCIM, high-availability benchmarks, deployment automation, observability, security review and support model.</w:t>
      </w:r>
    </w:p>
    <w:p>
      <w:pPr>
        <w:pStyle w:val="ListBullet"/>
        <w:spacing w:after="80"/>
      </w:pPr>
      <w:r>
        <w:t>A pricing hypothesis validated by willingness-to-pay—not just a feature comparison.</w:t>
      </w:r>
    </w:p>
    <w:p>
      <w:pPr>
        <w:pStyle w:val="ListBullet"/>
        <w:spacing w:after="80"/>
      </w:pPr>
      <w:r>
        <w:t>Founder-market-fit narrative, current traction, financing amount, runway plan and ownership/cap-table detail.</w:t>
      </w:r>
    </w:p>
    <w:p>
      <w:pPr>
        <w:pStyle w:val="Heading1"/>
      </w:pPr>
      <w:r>
        <w:t>1. Product: what OrchPilot does</w:t>
      </w:r>
    </w:p>
    <w:p>
      <w:r>
        <w:t>A workflow in OrchPilot is a graph. Built-in nodes control the process; plugin nodes connect external capabilities. Publishing snapshots an immutable version, and each execution pins that version so later edits cannot silently change a run already in flight. This is especially valuable for approvals and regulated processes that may remain open for hours or days.</w:t>
      </w:r>
    </w:p>
    <w:p>
      <w:pPr>
        <w:spacing w:before="100" w:after="60"/>
        <w:jc w:val="center"/>
      </w:pPr>
      <w:r>
        <w:drawing>
          <wp:inline xmlns:a="http://schemas.openxmlformats.org/drawingml/2006/main" xmlns:pic="http://schemas.openxmlformats.org/drawingml/2006/picture">
            <wp:extent cx="6172200" cy="5475580"/>
            <wp:docPr id="2" name="Picture 2"/>
            <wp:cNvGraphicFramePr>
              <a:graphicFrameLocks noChangeAspect="1"/>
            </wp:cNvGraphicFramePr>
            <a:graphic>
              <a:graphicData uri="http://schemas.openxmlformats.org/drawingml/2006/picture">
                <pic:pic>
                  <pic:nvPicPr>
                    <pic:cNvPr id="0" name="01-workflows-dashboard.png"/>
                    <pic:cNvPicPr/>
                  </pic:nvPicPr>
                  <pic:blipFill>
                    <a:blip r:embed="rId12"/>
                    <a:stretch>
                      <a:fillRect/>
                    </a:stretch>
                  </pic:blipFill>
                  <pic:spPr>
                    <a:xfrm>
                      <a:off x="0" y="0"/>
                      <a:ext cx="6172200" cy="5475580"/>
                    </a:xfrm>
                    <a:prstGeom prst="rect"/>
                  </pic:spPr>
                </pic:pic>
              </a:graphicData>
            </a:graphic>
          </wp:inline>
        </w:drawing>
      </w:r>
    </w:p>
    <w:p>
      <w:pPr>
        <w:spacing w:after="160"/>
        <w:jc w:val="center"/>
      </w:pPr>
      <w:r>
        <w:rPr>
          <w:i/>
          <w:color w:val="586174"/>
          <w:sz w:val="17"/>
        </w:rPr>
        <w:t>Workflow inventory and lifecycle management in the authenticated console.</w:t>
      </w:r>
    </w:p>
    <w:p>
      <w:pPr>
        <w:pStyle w:val="Heading2"/>
      </w:pPr>
      <w:r>
        <w:t>Core user journeys</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1800"/>
            <w:vAlign w:val="center"/>
            <w:shd w:fill="0B1736"/>
          </w:tcPr>
          <w:p>
            <w:pPr>
              <w:spacing w:after="40"/>
            </w:pPr>
            <w:r/>
            <w:r>
              <w:rPr>
                <w:rFonts w:ascii="Aptos" w:hAnsi="Aptos"/>
                <w:b/>
                <w:color w:val="FFFFFF"/>
                <w:sz w:val="18"/>
              </w:rPr>
              <w:t>User</w:t>
            </w:r>
          </w:p>
        </w:tc>
        <w:tc>
          <w:tcPr>
            <w:tcW w:type="dxa" w:w="4320"/>
            <w:vAlign w:val="center"/>
            <w:shd w:fill="0B1736"/>
          </w:tcPr>
          <w:p>
            <w:pPr>
              <w:spacing w:after="40"/>
            </w:pPr>
            <w:r/>
            <w:r>
              <w:rPr>
                <w:rFonts w:ascii="Aptos" w:hAnsi="Aptos"/>
                <w:b/>
                <w:color w:val="FFFFFF"/>
                <w:sz w:val="18"/>
              </w:rPr>
              <w:t>Job to be done</w:t>
            </w:r>
          </w:p>
        </w:tc>
        <w:tc>
          <w:tcPr>
            <w:tcW w:type="dxa" w:w="3600"/>
            <w:vAlign w:val="center"/>
            <w:shd w:fill="0B1736"/>
          </w:tcPr>
          <w:p>
            <w:pPr>
              <w:spacing w:after="40"/>
            </w:pPr>
            <w:r/>
            <w:r>
              <w:rPr>
                <w:rFonts w:ascii="Aptos" w:hAnsi="Aptos"/>
                <w:b/>
                <w:color w:val="FFFFFF"/>
                <w:sz w:val="18"/>
              </w:rPr>
              <w:t>Product surface</w:t>
            </w:r>
          </w:p>
        </w:tc>
      </w:tr>
      <w:tr>
        <w:tc>
          <w:tcPr>
            <w:tcW w:type="dxa" w:w="1800"/>
            <w:vAlign w:val="center"/>
            <w:shd w:fill="F7F8FA"/>
          </w:tcPr>
          <w:p>
            <w:pPr>
              <w:spacing w:after="40"/>
            </w:pPr>
            <w:r/>
            <w:r>
              <w:rPr>
                <w:rFonts w:ascii="Aptos" w:hAnsi="Aptos"/>
                <w:b w:val="0"/>
                <w:color w:val="0B1736"/>
                <w:sz w:val="18"/>
              </w:rPr>
              <w:t>Workflow owner</w:t>
            </w:r>
          </w:p>
        </w:tc>
        <w:tc>
          <w:tcPr>
            <w:tcW w:type="dxa" w:w="4320"/>
            <w:vAlign w:val="center"/>
            <w:shd w:fill="F7F8FA"/>
          </w:tcPr>
          <w:p>
            <w:pPr>
              <w:spacing w:after="40"/>
            </w:pPr>
            <w:r/>
            <w:r>
              <w:rPr>
                <w:rFonts w:ascii="Aptos" w:hAnsi="Aptos"/>
                <w:b w:val="0"/>
                <w:color w:val="0B1736"/>
                <w:sz w:val="18"/>
              </w:rPr>
              <w:t>Design, validate, publish and operate a process</w:t>
            </w:r>
          </w:p>
        </w:tc>
        <w:tc>
          <w:tcPr>
            <w:tcW w:type="dxa" w:w="3600"/>
            <w:vAlign w:val="center"/>
            <w:shd w:fill="F7F8FA"/>
          </w:tcPr>
          <w:p>
            <w:pPr>
              <w:spacing w:after="40"/>
            </w:pPr>
            <w:r/>
            <w:r>
              <w:rPr>
                <w:rFonts w:ascii="Aptos" w:hAnsi="Aptos"/>
                <w:b w:val="0"/>
                <w:color w:val="0B1736"/>
                <w:sz w:val="18"/>
              </w:rPr>
              <w:t>Designer, versions, validation, executions</w:t>
            </w:r>
          </w:p>
        </w:tc>
      </w:tr>
      <w:tr>
        <w:tc>
          <w:tcPr>
            <w:tcW w:type="dxa" w:w="1800"/>
            <w:vAlign w:val="center"/>
            <w:shd w:fill="FFFFFF"/>
          </w:tcPr>
          <w:p>
            <w:pPr>
              <w:spacing w:after="40"/>
            </w:pPr>
            <w:r/>
            <w:r>
              <w:rPr>
                <w:rFonts w:ascii="Aptos" w:hAnsi="Aptos"/>
                <w:b w:val="0"/>
                <w:color w:val="0B1736"/>
                <w:sz w:val="18"/>
              </w:rPr>
              <w:t>Approver / operator</w:t>
            </w:r>
          </w:p>
        </w:tc>
        <w:tc>
          <w:tcPr>
            <w:tcW w:type="dxa" w:w="4320"/>
            <w:vAlign w:val="center"/>
            <w:shd w:fill="FFFFFF"/>
          </w:tcPr>
          <w:p>
            <w:pPr>
              <w:spacing w:after="40"/>
            </w:pPr>
            <w:r/>
            <w:r>
              <w:rPr>
                <w:rFonts w:ascii="Aptos" w:hAnsi="Aptos"/>
                <w:b w:val="0"/>
                <w:color w:val="0B1736"/>
                <w:sz w:val="18"/>
              </w:rPr>
              <w:t>Claim, review and complete accountable human work</w:t>
            </w:r>
          </w:p>
        </w:tc>
        <w:tc>
          <w:tcPr>
            <w:tcW w:type="dxa" w:w="3600"/>
            <w:vAlign w:val="center"/>
            <w:shd w:fill="FFFFFF"/>
          </w:tcPr>
          <w:p>
            <w:pPr>
              <w:spacing w:after="40"/>
            </w:pPr>
            <w:r/>
            <w:r>
              <w:rPr>
                <w:rFonts w:ascii="Aptos" w:hAnsi="Aptos"/>
                <w:b w:val="0"/>
                <w:color w:val="0B1736"/>
                <w:sz w:val="18"/>
              </w:rPr>
              <w:t>Task inbox, forms, drafts, history</w:t>
            </w:r>
          </w:p>
        </w:tc>
      </w:tr>
      <w:tr>
        <w:tc>
          <w:tcPr>
            <w:tcW w:type="dxa" w:w="1800"/>
            <w:vAlign w:val="center"/>
            <w:shd w:fill="F7F8FA"/>
          </w:tcPr>
          <w:p>
            <w:pPr>
              <w:spacing w:after="40"/>
            </w:pPr>
            <w:r/>
            <w:r>
              <w:rPr>
                <w:rFonts w:ascii="Aptos" w:hAnsi="Aptos"/>
                <w:b w:val="0"/>
                <w:color w:val="0B1736"/>
                <w:sz w:val="18"/>
              </w:rPr>
              <w:t>Platform administrator</w:t>
            </w:r>
          </w:p>
        </w:tc>
        <w:tc>
          <w:tcPr>
            <w:tcW w:type="dxa" w:w="4320"/>
            <w:vAlign w:val="center"/>
            <w:shd w:fill="F7F8FA"/>
          </w:tcPr>
          <w:p>
            <w:pPr>
              <w:spacing w:after="40"/>
            </w:pPr>
            <w:r/>
            <w:r>
              <w:rPr>
                <w:rFonts w:ascii="Aptos" w:hAnsi="Aptos"/>
                <w:b w:val="0"/>
                <w:color w:val="0B1736"/>
                <w:sz w:val="18"/>
              </w:rPr>
              <w:t>Control users, plugins, secrets, AI providers and storage</w:t>
            </w:r>
          </w:p>
        </w:tc>
        <w:tc>
          <w:tcPr>
            <w:tcW w:type="dxa" w:w="3600"/>
            <w:vAlign w:val="center"/>
            <w:shd w:fill="F7F8FA"/>
          </w:tcPr>
          <w:p>
            <w:pPr>
              <w:spacing w:after="40"/>
            </w:pPr>
            <w:r/>
            <w:r>
              <w:rPr>
                <w:rFonts w:ascii="Aptos" w:hAnsi="Aptos"/>
                <w:b w:val="0"/>
                <w:color w:val="0B1736"/>
                <w:sz w:val="18"/>
              </w:rPr>
              <w:t>Admin, plugin manager, secrets, settings</w:t>
            </w:r>
          </w:p>
        </w:tc>
      </w:tr>
      <w:tr>
        <w:tc>
          <w:tcPr>
            <w:tcW w:type="dxa" w:w="1800"/>
            <w:vAlign w:val="center"/>
            <w:shd w:fill="FFFFFF"/>
          </w:tcPr>
          <w:p>
            <w:pPr>
              <w:spacing w:after="40"/>
            </w:pPr>
            <w:r/>
            <w:r>
              <w:rPr>
                <w:rFonts w:ascii="Aptos" w:hAnsi="Aptos"/>
                <w:b w:val="0"/>
                <w:color w:val="0B1736"/>
                <w:sz w:val="18"/>
              </w:rPr>
              <w:t>Integration developer</w:t>
            </w:r>
          </w:p>
        </w:tc>
        <w:tc>
          <w:tcPr>
            <w:tcW w:type="dxa" w:w="4320"/>
            <w:vAlign w:val="center"/>
            <w:shd w:fill="FFFFFF"/>
          </w:tcPr>
          <w:p>
            <w:pPr>
              <w:spacing w:after="40"/>
            </w:pPr>
            <w:r/>
            <w:r>
              <w:rPr>
                <w:rFonts w:ascii="Aptos" w:hAnsi="Aptos"/>
                <w:b w:val="0"/>
                <w:color w:val="0B1736"/>
                <w:sz w:val="18"/>
              </w:rPr>
              <w:t>Create reusable, governed capabilities</w:t>
            </w:r>
          </w:p>
        </w:tc>
        <w:tc>
          <w:tcPr>
            <w:tcW w:type="dxa" w:w="3600"/>
            <w:vAlign w:val="center"/>
            <w:shd w:fill="FFFFFF"/>
          </w:tcPr>
          <w:p>
            <w:pPr>
              <w:spacing w:after="40"/>
            </w:pPr>
            <w:r/>
            <w:r>
              <w:rPr>
                <w:rFonts w:ascii="Aptos" w:hAnsi="Aptos"/>
                <w:b w:val="0"/>
                <w:color w:val="0B1736"/>
                <w:sz w:val="18"/>
              </w:rPr>
              <w:t>Plugin SDK, registry, schemas, permissions</w:t>
            </w:r>
          </w:p>
        </w:tc>
      </w:tr>
    </w:tbl>
    <w:p>
      <w:pPr>
        <w:spacing w:after="20"/>
      </w:pPr>
    </w:p>
    <w:p>
      <w:pPr>
        <w:pStyle w:val="Heading1"/>
      </w:pPr>
      <w:r>
        <w:t>2. Architecture and engineering assessment</w:t>
      </w:r>
    </w:p>
    <w:p>
      <w:r>
        <w:t>The repository is a Maven multi-module system built with Java 17+, Spring Boot, MongoDB and Angular. The engine is deliberately integration-agnostic: plugin contracts live in a separate SDK, while the core resolves node types through a registry rather than integration-specific switch statements.</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2232"/>
            <w:vAlign w:val="center"/>
            <w:shd w:fill="0B1736"/>
          </w:tcPr>
          <w:p>
            <w:pPr>
              <w:spacing w:after="40"/>
            </w:pPr>
            <w:r/>
            <w:r>
              <w:rPr>
                <w:rFonts w:ascii="Aptos" w:hAnsi="Aptos"/>
                <w:b/>
                <w:color w:val="FFFFFF"/>
                <w:sz w:val="18"/>
              </w:rPr>
              <w:t>Evidence</w:t>
            </w:r>
          </w:p>
        </w:tc>
        <w:tc>
          <w:tcPr>
            <w:tcW w:type="dxa" w:w="3168"/>
            <w:vAlign w:val="center"/>
            <w:shd w:fill="0B1736"/>
          </w:tcPr>
          <w:p>
            <w:pPr>
              <w:spacing w:after="40"/>
            </w:pPr>
            <w:r/>
            <w:r>
              <w:rPr>
                <w:rFonts w:ascii="Aptos" w:hAnsi="Aptos"/>
                <w:b/>
                <w:color w:val="FFFFFF"/>
                <w:sz w:val="18"/>
              </w:rPr>
              <w:t>Observed value</w:t>
            </w:r>
          </w:p>
        </w:tc>
        <w:tc>
          <w:tcPr>
            <w:tcW w:type="dxa" w:w="4320"/>
            <w:vAlign w:val="center"/>
            <w:shd w:fill="0B1736"/>
          </w:tcPr>
          <w:p>
            <w:pPr>
              <w:spacing w:after="40"/>
            </w:pPr>
            <w:r/>
            <w:r>
              <w:rPr>
                <w:rFonts w:ascii="Aptos" w:hAnsi="Aptos"/>
                <w:b/>
                <w:color w:val="FFFFFF"/>
                <w:sz w:val="18"/>
              </w:rPr>
              <w:t>Investor meaning</w:t>
            </w:r>
          </w:p>
        </w:tc>
      </w:tr>
      <w:tr>
        <w:tc>
          <w:tcPr>
            <w:tcW w:type="dxa" w:w="2232"/>
            <w:vAlign w:val="center"/>
            <w:shd w:fill="F7F8FA"/>
          </w:tcPr>
          <w:p>
            <w:pPr>
              <w:spacing w:after="40"/>
            </w:pPr>
            <w:r/>
            <w:r>
              <w:rPr>
                <w:rFonts w:ascii="Aptos" w:hAnsi="Aptos"/>
                <w:b w:val="0"/>
                <w:color w:val="0B1736"/>
                <w:sz w:val="18"/>
              </w:rPr>
              <w:t>Java production source</w:t>
            </w:r>
          </w:p>
        </w:tc>
        <w:tc>
          <w:tcPr>
            <w:tcW w:type="dxa" w:w="3168"/>
            <w:vAlign w:val="center"/>
            <w:shd w:fill="F7F8FA"/>
          </w:tcPr>
          <w:p>
            <w:pPr>
              <w:spacing w:after="40"/>
            </w:pPr>
            <w:r/>
            <w:r>
              <w:rPr>
                <w:rFonts w:ascii="Aptos" w:hAnsi="Aptos"/>
                <w:b w:val="0"/>
                <w:color w:val="0B1736"/>
                <w:sz w:val="18"/>
              </w:rPr>
              <w:t>650 files / 80,084 lines</w:t>
            </w:r>
          </w:p>
        </w:tc>
        <w:tc>
          <w:tcPr>
            <w:tcW w:type="dxa" w:w="4320"/>
            <w:vAlign w:val="center"/>
            <w:shd w:fill="F7F8FA"/>
          </w:tcPr>
          <w:p>
            <w:pPr>
              <w:spacing w:after="40"/>
            </w:pPr>
            <w:r/>
            <w:r>
              <w:rPr>
                <w:rFonts w:ascii="Aptos" w:hAnsi="Aptos"/>
                <w:b w:val="0"/>
                <w:color w:val="0B1736"/>
                <w:sz w:val="18"/>
              </w:rPr>
              <w:t>Substantial platform implementation; requires maintainability discipline</w:t>
            </w:r>
          </w:p>
        </w:tc>
      </w:tr>
      <w:tr>
        <w:tc>
          <w:tcPr>
            <w:tcW w:type="dxa" w:w="2232"/>
            <w:vAlign w:val="center"/>
            <w:shd w:fill="FFFFFF"/>
          </w:tcPr>
          <w:p>
            <w:pPr>
              <w:spacing w:after="40"/>
            </w:pPr>
            <w:r/>
            <w:r>
              <w:rPr>
                <w:rFonts w:ascii="Aptos" w:hAnsi="Aptos"/>
                <w:b w:val="0"/>
                <w:color w:val="0B1736"/>
                <w:sz w:val="18"/>
              </w:rPr>
              <w:t>Java tests</w:t>
            </w:r>
          </w:p>
        </w:tc>
        <w:tc>
          <w:tcPr>
            <w:tcW w:type="dxa" w:w="3168"/>
            <w:vAlign w:val="center"/>
            <w:shd w:fill="FFFFFF"/>
          </w:tcPr>
          <w:p>
            <w:pPr>
              <w:spacing w:after="40"/>
            </w:pPr>
            <w:r/>
            <w:r>
              <w:rPr>
                <w:rFonts w:ascii="Aptos" w:hAnsi="Aptos"/>
                <w:b w:val="0"/>
                <w:color w:val="0B1736"/>
                <w:sz w:val="18"/>
              </w:rPr>
              <w:t>141 files / 21,783 lines; 73 core test classes</w:t>
            </w:r>
          </w:p>
        </w:tc>
        <w:tc>
          <w:tcPr>
            <w:tcW w:type="dxa" w:w="4320"/>
            <w:vAlign w:val="center"/>
            <w:shd w:fill="FFFFFF"/>
          </w:tcPr>
          <w:p>
            <w:pPr>
              <w:spacing w:after="40"/>
            </w:pPr>
            <w:r/>
            <w:r>
              <w:rPr>
                <w:rFonts w:ascii="Aptos" w:hAnsi="Aptos"/>
                <w:b w:val="0"/>
                <w:color w:val="0B1736"/>
                <w:sz w:val="18"/>
              </w:rPr>
              <w:t>Meaningful test investment, but scale/HA benchmarks still needed</w:t>
            </w:r>
          </w:p>
        </w:tc>
      </w:tr>
      <w:tr>
        <w:tc>
          <w:tcPr>
            <w:tcW w:type="dxa" w:w="2232"/>
            <w:vAlign w:val="center"/>
            <w:shd w:fill="F7F8FA"/>
          </w:tcPr>
          <w:p>
            <w:pPr>
              <w:spacing w:after="40"/>
            </w:pPr>
            <w:r/>
            <w:r>
              <w:rPr>
                <w:rFonts w:ascii="Aptos" w:hAnsi="Aptos"/>
                <w:b w:val="0"/>
                <w:color w:val="0B1736"/>
                <w:sz w:val="18"/>
              </w:rPr>
              <w:t>REST surface</w:t>
            </w:r>
          </w:p>
        </w:tc>
        <w:tc>
          <w:tcPr>
            <w:tcW w:type="dxa" w:w="3168"/>
            <w:vAlign w:val="center"/>
            <w:shd w:fill="F7F8FA"/>
          </w:tcPr>
          <w:p>
            <w:pPr>
              <w:spacing w:after="40"/>
            </w:pPr>
            <w:r/>
            <w:r>
              <w:rPr>
                <w:rFonts w:ascii="Aptos" w:hAnsi="Aptos"/>
                <w:b w:val="0"/>
                <w:color w:val="0B1736"/>
                <w:sz w:val="18"/>
              </w:rPr>
              <w:t>160 handler annotations / 27 controllers</w:t>
            </w:r>
          </w:p>
        </w:tc>
        <w:tc>
          <w:tcPr>
            <w:tcW w:type="dxa" w:w="4320"/>
            <w:vAlign w:val="center"/>
            <w:shd w:fill="F7F8FA"/>
          </w:tcPr>
          <w:p>
            <w:pPr>
              <w:spacing w:after="40"/>
            </w:pPr>
            <w:r/>
            <w:r>
              <w:rPr>
                <w:rFonts w:ascii="Aptos" w:hAnsi="Aptos"/>
                <w:b w:val="0"/>
                <w:color w:val="0B1736"/>
                <w:sz w:val="18"/>
              </w:rPr>
              <w:t>Broad operational and administrative API surface</w:t>
            </w:r>
          </w:p>
        </w:tc>
      </w:tr>
      <w:tr>
        <w:tc>
          <w:tcPr>
            <w:tcW w:type="dxa" w:w="2232"/>
            <w:vAlign w:val="center"/>
            <w:shd w:fill="FFFFFF"/>
          </w:tcPr>
          <w:p>
            <w:pPr>
              <w:spacing w:after="40"/>
            </w:pPr>
            <w:r/>
            <w:r>
              <w:rPr>
                <w:rFonts w:ascii="Aptos" w:hAnsi="Aptos"/>
                <w:b w:val="0"/>
                <w:color w:val="0B1736"/>
                <w:sz w:val="18"/>
              </w:rPr>
              <w:t>Plugin modules</w:t>
            </w:r>
          </w:p>
        </w:tc>
        <w:tc>
          <w:tcPr>
            <w:tcW w:type="dxa" w:w="3168"/>
            <w:vAlign w:val="center"/>
            <w:shd w:fill="FFFFFF"/>
          </w:tcPr>
          <w:p>
            <w:pPr>
              <w:spacing w:after="40"/>
            </w:pPr>
            <w:r/>
            <w:r>
              <w:rPr>
                <w:rFonts w:ascii="Aptos" w:hAnsi="Aptos"/>
                <w:b w:val="0"/>
                <w:color w:val="0B1736"/>
                <w:sz w:val="18"/>
              </w:rPr>
              <w:t>13</w:t>
            </w:r>
          </w:p>
        </w:tc>
        <w:tc>
          <w:tcPr>
            <w:tcW w:type="dxa" w:w="4320"/>
            <w:vAlign w:val="center"/>
            <w:shd w:fill="FFFFFF"/>
          </w:tcPr>
          <w:p>
            <w:pPr>
              <w:spacing w:after="40"/>
            </w:pPr>
            <w:r/>
            <w:r>
              <w:rPr>
                <w:rFonts w:ascii="Aptos" w:hAnsi="Aptos"/>
                <w:b w:val="0"/>
                <w:color w:val="0B1736"/>
                <w:sz w:val="18"/>
              </w:rPr>
              <w:t>Demonstrates SDK breadth across SaaS, cloud, data and infrastructure</w:t>
            </w:r>
          </w:p>
        </w:tc>
      </w:tr>
      <w:tr>
        <w:tc>
          <w:tcPr>
            <w:tcW w:type="dxa" w:w="2232"/>
            <w:vAlign w:val="center"/>
            <w:shd w:fill="F7F8FA"/>
          </w:tcPr>
          <w:p>
            <w:pPr>
              <w:spacing w:after="40"/>
            </w:pPr>
            <w:r/>
            <w:r>
              <w:rPr>
                <w:rFonts w:ascii="Aptos" w:hAnsi="Aptos"/>
                <w:b w:val="0"/>
                <w:color w:val="0B1736"/>
                <w:sz w:val="18"/>
              </w:rPr>
              <w:t>Angular source</w:t>
            </w:r>
          </w:p>
        </w:tc>
        <w:tc>
          <w:tcPr>
            <w:tcW w:type="dxa" w:w="3168"/>
            <w:vAlign w:val="center"/>
            <w:shd w:fill="F7F8FA"/>
          </w:tcPr>
          <w:p>
            <w:pPr>
              <w:spacing w:after="40"/>
            </w:pPr>
            <w:r/>
            <w:r>
              <w:rPr>
                <w:rFonts w:ascii="Aptos" w:hAnsi="Aptos"/>
                <w:b w:val="0"/>
                <w:color w:val="0B1736"/>
                <w:sz w:val="18"/>
              </w:rPr>
              <w:t>118 files / 28,595 lines</w:t>
            </w:r>
          </w:p>
        </w:tc>
        <w:tc>
          <w:tcPr>
            <w:tcW w:type="dxa" w:w="4320"/>
            <w:vAlign w:val="center"/>
            <w:shd w:fill="F7F8FA"/>
          </w:tcPr>
          <w:p>
            <w:pPr>
              <w:spacing w:after="40"/>
            </w:pPr>
            <w:r/>
            <w:r>
              <w:rPr>
                <w:rFonts w:ascii="Aptos" w:hAnsi="Aptos"/>
                <w:b w:val="0"/>
                <w:color w:val="0B1736"/>
                <w:sz w:val="18"/>
              </w:rPr>
              <w:t>Full administration and workflow console, not API-only middleware</w:t>
            </w:r>
          </w:p>
        </w:tc>
      </w:tr>
    </w:tbl>
    <w:p>
      <w:pPr>
        <w:spacing w:after="20"/>
      </w:pPr>
    </w:p>
    <w:p>
      <w:pPr>
        <w:spacing w:before="40" w:after="100"/>
      </w:pPr>
      <w:r>
        <w:rPr>
          <w:i/>
          <w:color w:val="586174"/>
          <w:sz w:val="16"/>
        </w:rPr>
        <w:t>Source: Local source-only inventory, 26 August 2026. Generated targets and dependencies excluded.</w:t>
      </w:r>
    </w:p>
    <w:p>
      <w:pPr>
        <w:pStyle w:val="Heading2"/>
      </w:pPr>
      <w:r>
        <w:t>Architectural strengths</w:t>
      </w:r>
    </w:p>
    <w:p>
      <w:pPr>
        <w:pStyle w:val="ListBullet"/>
        <w:spacing w:after="80"/>
      </w:pPr>
      <w:r>
        <w:t>Plugin lifecycle is treated as an operational security boundary: validation, checksums, allowlisted hosts, scoped secrets, activation/deactivation and invocation history.</w:t>
      </w:r>
    </w:p>
    <w:p>
      <w:pPr>
        <w:pStyle w:val="ListBullet"/>
        <w:spacing w:after="80"/>
      </w:pPr>
      <w:r>
        <w:t>Execution recovery persists state at node boundaries and uses ownership/heartbeat semantics to resume abandoned work.</w:t>
      </w:r>
    </w:p>
    <w:p>
      <w:pPr>
        <w:pStyle w:val="ListBullet"/>
        <w:spacing w:after="80"/>
      </w:pPr>
      <w:r>
        <w:t>Idempotency keys include execution, node, plugin version and configuration fingerprint, reducing duplicate side effects after retry or crash.</w:t>
      </w:r>
    </w:p>
    <w:p>
      <w:pPr>
        <w:pStyle w:val="ListBullet"/>
        <w:spacing w:after="80"/>
      </w:pPr>
      <w:r>
        <w:t>Workflow portability uses a signed/encrypted .orchpilot format and intentionally excludes secrets.</w:t>
      </w:r>
    </w:p>
    <w:p>
      <w:pPr>
        <w:pStyle w:val="ListBullet"/>
        <w:spacing w:after="80"/>
      </w:pPr>
      <w:r>
        <w:t>Security design is explicit and documented, including password migration, token strategy, permission mapping and audit collections.</w:t>
      </w:r>
    </w:p>
    <w:p>
      <w:pPr>
        <w:pStyle w:val="Heading2"/>
      </w:pPr>
      <w:r>
        <w:t>Technical gaps to address before enterprise claims</w:t>
      </w:r>
    </w:p>
    <w:p>
      <w:pPr>
        <w:pStyle w:val="ListBullet"/>
        <w:spacing w:after="80"/>
      </w:pPr>
      <w:r>
        <w:t>Publish repeatable load, recovery, chaos and multi-node benchmarks with defined SLOs.</w:t>
      </w:r>
    </w:p>
    <w:p>
      <w:pPr>
        <w:pStyle w:val="ListBullet"/>
        <w:spacing w:after="80"/>
      </w:pPr>
      <w:r>
        <w:t>Add SSO/SAML or OIDC federation, SCIM lifecycle management, external secret-manager integrations and tenant isolation if multi-tenant SaaS is planned.</w:t>
      </w:r>
    </w:p>
    <w:p>
      <w:pPr>
        <w:pStyle w:val="ListBullet"/>
        <w:spacing w:after="80"/>
      </w:pPr>
      <w:r>
        <w:t>Harden the plugin sandbox beyond classloader isolation for untrusted third-party code; consider out-of-process execution for marketplace plugins.</w:t>
      </w:r>
    </w:p>
    <w:p>
      <w:pPr>
        <w:pStyle w:val="ListBullet"/>
        <w:spacing w:after="80"/>
      </w:pPr>
      <w:r>
        <w:t>Formalize database migration/versioning, backup/restore drills, upgrade compatibility and disaster-recovery runbooks.</w:t>
      </w:r>
    </w:p>
    <w:p>
      <w:pPr>
        <w:pStyle w:val="ListBullet"/>
        <w:spacing w:after="80"/>
      </w:pPr>
      <w:r>
        <w:t>Reduce source breadth risk through module ownership, architectural fitness tests and a published compatibility policy for the SDK.</w:t>
      </w:r>
    </w:p>
    <w:p>
      <w:pPr>
        <w:pStyle w:val="Heading1"/>
      </w:pPr>
      <w:r>
        <w:t>3. Product experience and governance</w:t>
      </w:r>
    </w:p>
    <w:p>
      <w:pPr>
        <w:spacing w:before="100" w:after="60"/>
        <w:jc w:val="center"/>
      </w:pPr>
      <w:r>
        <w:drawing>
          <wp:inline xmlns:a="http://schemas.openxmlformats.org/drawingml/2006/main" xmlns:pic="http://schemas.openxmlformats.org/drawingml/2006/picture">
            <wp:extent cx="6172200" cy="5475580"/>
            <wp:docPr id="3" name="Picture 3"/>
            <wp:cNvGraphicFramePr>
              <a:graphicFrameLocks noChangeAspect="1"/>
            </wp:cNvGraphicFramePr>
            <a:graphic>
              <a:graphicData uri="http://schemas.openxmlformats.org/drawingml/2006/picture">
                <pic:pic>
                  <pic:nvPicPr>
                    <pic:cNvPr id="0" name="04-user-governance.png"/>
                    <pic:cNvPicPr/>
                  </pic:nvPicPr>
                  <pic:blipFill>
                    <a:blip r:embed="rId13"/>
                    <a:stretch>
                      <a:fillRect/>
                    </a:stretch>
                  </pic:blipFill>
                  <pic:spPr>
                    <a:xfrm>
                      <a:off x="0" y="0"/>
                      <a:ext cx="6172200" cy="5475580"/>
                    </a:xfrm>
                    <a:prstGeom prst="rect"/>
                  </pic:spPr>
                </pic:pic>
              </a:graphicData>
            </a:graphic>
          </wp:inline>
        </w:drawing>
      </w:r>
    </w:p>
    <w:p>
      <w:pPr>
        <w:spacing w:after="160"/>
        <w:jc w:val="center"/>
      </w:pPr>
      <w:r>
        <w:rPr>
          <w:i/>
          <w:color w:val="586174"/>
          <w:sz w:val="17"/>
        </w:rPr>
        <w:t>User governance with roles, account status and security-log access.</w:t>
      </w:r>
    </w:p>
    <w:p>
      <w:r>
        <w:t>The console already exposes the operational surfaces enterprise buyers expect: workflows, executions, tasks, forms, node types, plugins, secrets, events, AI providers, storage, users and groups. This breadth is an advantage in diligence, but the pitch should focus on the few workflows that create budget urgency.</w:t>
      </w:r>
    </w:p>
    <w:p>
      <w:pPr>
        <w:spacing w:before="100" w:after="60"/>
        <w:jc w:val="center"/>
      </w:pPr>
      <w:r>
        <w:drawing>
          <wp:inline xmlns:a="http://schemas.openxmlformats.org/drawingml/2006/main" xmlns:pic="http://schemas.openxmlformats.org/drawingml/2006/picture">
            <wp:extent cx="6172200" cy="5475580"/>
            <wp:docPr id="4" name="Picture 4"/>
            <wp:cNvGraphicFramePr>
              <a:graphicFrameLocks noChangeAspect="1"/>
            </wp:cNvGraphicFramePr>
            <a:graphic>
              <a:graphicData uri="http://schemas.openxmlformats.org/drawingml/2006/picture">
                <pic:pic>
                  <pic:nvPicPr>
                    <pic:cNvPr id="0" name="05-ai-providers.png"/>
                    <pic:cNvPicPr/>
                  </pic:nvPicPr>
                  <pic:blipFill>
                    <a:blip r:embed="rId14"/>
                    <a:stretch>
                      <a:fillRect/>
                    </a:stretch>
                  </pic:blipFill>
                  <pic:spPr>
                    <a:xfrm>
                      <a:off x="0" y="0"/>
                      <a:ext cx="6172200" cy="5475580"/>
                    </a:xfrm>
                    <a:prstGeom prst="rect"/>
                  </pic:spPr>
                </pic:pic>
              </a:graphicData>
            </a:graphic>
          </wp:inline>
        </w:drawing>
      </w:r>
    </w:p>
    <w:p>
      <w:pPr>
        <w:spacing w:after="160"/>
        <w:jc w:val="center"/>
      </w:pPr>
      <w:r>
        <w:rPr>
          <w:i/>
          <w:color w:val="586174"/>
          <w:sz w:val="17"/>
        </w:rPr>
        <w:t>AI provider management: keys remain encrypted and are not returned to the browser or stored in workflows.</w:t>
      </w:r>
    </w:p>
    <w:tbl>
      <w:tblPr>
        <w:tblW w:type="auto" w:w="0"/>
        <w:jc w:val="center"/>
        <w:tblLayout w:type="fixed"/>
        <w:tblLook w:firstColumn="1" w:firstRow="1" w:lastColumn="0" w:lastRow="0" w:noHBand="0" w:noVBand="1" w:val="04A0"/>
      </w:tblPr>
      <w:tblGrid>
        <w:gridCol w:w="9720"/>
      </w:tblGrid>
      <w:tr>
        <w:tc>
          <w:tcPr>
            <w:tcW w:type="dxa" w:w="9878"/>
            <w:shd w:fill="EDF4FF"/>
            <w:vAlign w:val="center"/>
          </w:tcPr>
          <w:p>
            <w:pPr>
              <w:spacing w:after="40"/>
            </w:pPr>
            <w:r/>
            <w:r>
              <w:rPr>
                <w:rFonts w:ascii="Aptos" w:hAnsi="Aptos"/>
                <w:b/>
                <w:color w:val="0B1736"/>
                <w:sz w:val="21"/>
              </w:rPr>
              <w:t>Product principle to preserve: AI should reason inside governed boundaries; deterministic workflow state, policy and human escalation should own the business outcome.</w:t>
            </w:r>
          </w:p>
        </w:tc>
      </w:tr>
    </w:tbl>
    <w:p>
      <w:pPr>
        <w:spacing w:after="20"/>
      </w:pPr>
    </w:p>
    <w:p>
      <w:r>
        <w:br w:type="page"/>
      </w:r>
    </w:p>
    <w:p>
      <w:pPr>
        <w:pStyle w:val="Heading1"/>
      </w:pPr>
      <w:r>
        <w:t>4. Market timing</w:t>
      </w:r>
    </w:p>
    <w:p>
      <w:r>
        <w:t>Current market signals support an orchestration thesis. Gartner forecasts spending on consolidated business orchestration and automation technologies (BOAT) to grow 35% in 2025 to nearly $7 billion and cross $21 billion by 2029. A broader Gartner market map projects process-agnostic hyperautomation software at $119.2 billion by 2028, growing at 15.9% CAGR. These are category forecasts, not OrchPilot revenue projections.</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2232"/>
            <w:vAlign w:val="center"/>
            <w:shd w:fill="0B1736"/>
          </w:tcPr>
          <w:p>
            <w:pPr>
              <w:spacing w:after="40"/>
            </w:pPr>
            <w:r/>
            <w:r>
              <w:rPr>
                <w:rFonts w:ascii="Aptos" w:hAnsi="Aptos"/>
                <w:b/>
                <w:color w:val="FFFFFF"/>
                <w:sz w:val="18"/>
              </w:rPr>
              <w:t>Signal</w:t>
            </w:r>
          </w:p>
        </w:tc>
        <w:tc>
          <w:tcPr>
            <w:tcW w:type="dxa" w:w="3960"/>
            <w:vAlign w:val="center"/>
            <w:shd w:fill="0B1736"/>
          </w:tcPr>
          <w:p>
            <w:pPr>
              <w:spacing w:after="40"/>
            </w:pPr>
            <w:r/>
            <w:r>
              <w:rPr>
                <w:rFonts w:ascii="Aptos" w:hAnsi="Aptos"/>
                <w:b/>
                <w:color w:val="FFFFFF"/>
                <w:sz w:val="18"/>
              </w:rPr>
              <w:t>Current evidence</w:t>
            </w:r>
          </w:p>
        </w:tc>
        <w:tc>
          <w:tcPr>
            <w:tcW w:type="dxa" w:w="3528"/>
            <w:vAlign w:val="center"/>
            <w:shd w:fill="0B1736"/>
          </w:tcPr>
          <w:p>
            <w:pPr>
              <w:spacing w:after="40"/>
            </w:pPr>
            <w:r/>
            <w:r>
              <w:rPr>
                <w:rFonts w:ascii="Aptos" w:hAnsi="Aptos"/>
                <w:b/>
                <w:color w:val="FFFFFF"/>
                <w:sz w:val="18"/>
              </w:rPr>
              <w:t>Implication</w:t>
            </w:r>
          </w:p>
        </w:tc>
      </w:tr>
      <w:tr>
        <w:tc>
          <w:tcPr>
            <w:tcW w:type="dxa" w:w="2232"/>
            <w:vAlign w:val="center"/>
            <w:shd w:fill="F7F8FA"/>
          </w:tcPr>
          <w:p>
            <w:pPr>
              <w:spacing w:after="40"/>
            </w:pPr>
            <w:r/>
            <w:r>
              <w:rPr>
                <w:rFonts w:ascii="Aptos" w:hAnsi="Aptos"/>
                <w:b w:val="0"/>
                <w:color w:val="0B1736"/>
                <w:sz w:val="18"/>
              </w:rPr>
              <w:t>Platform consolidation</w:t>
            </w:r>
          </w:p>
        </w:tc>
        <w:tc>
          <w:tcPr>
            <w:tcW w:type="dxa" w:w="3960"/>
            <w:vAlign w:val="center"/>
            <w:shd w:fill="F7F8FA"/>
          </w:tcPr>
          <w:p>
            <w:pPr>
              <w:spacing w:after="40"/>
            </w:pPr>
            <w:r/>
            <w:r>
              <w:rPr>
                <w:rFonts w:ascii="Aptos" w:hAnsi="Aptos"/>
                <w:b w:val="0"/>
                <w:color w:val="0B1736"/>
                <w:sz w:val="18"/>
              </w:rPr>
              <w:t>BOAT spending projected above $21B by 2029</w:t>
            </w:r>
          </w:p>
        </w:tc>
        <w:tc>
          <w:tcPr>
            <w:tcW w:type="dxa" w:w="3528"/>
            <w:vAlign w:val="center"/>
            <w:shd w:fill="F7F8FA"/>
          </w:tcPr>
          <w:p>
            <w:pPr>
              <w:spacing w:after="40"/>
            </w:pPr>
            <w:r/>
            <w:r>
              <w:rPr>
                <w:rFonts w:ascii="Aptos" w:hAnsi="Aptos"/>
                <w:b w:val="0"/>
                <w:color w:val="0B1736"/>
                <w:sz w:val="18"/>
              </w:rPr>
              <w:t>Buyers want a control layer, not another isolated bot</w:t>
            </w:r>
          </w:p>
        </w:tc>
      </w:tr>
      <w:tr>
        <w:tc>
          <w:tcPr>
            <w:tcW w:type="dxa" w:w="2232"/>
            <w:vAlign w:val="center"/>
            <w:shd w:fill="FFFFFF"/>
          </w:tcPr>
          <w:p>
            <w:pPr>
              <w:spacing w:after="40"/>
            </w:pPr>
            <w:r/>
            <w:r>
              <w:rPr>
                <w:rFonts w:ascii="Aptos" w:hAnsi="Aptos"/>
                <w:b w:val="0"/>
                <w:color w:val="0B1736"/>
                <w:sz w:val="18"/>
              </w:rPr>
              <w:t>AI enters core processes</w:t>
            </w:r>
          </w:p>
        </w:tc>
        <w:tc>
          <w:tcPr>
            <w:tcW w:type="dxa" w:w="3960"/>
            <w:vAlign w:val="center"/>
            <w:shd w:fill="FFFFFF"/>
          </w:tcPr>
          <w:p>
            <w:pPr>
              <w:spacing w:after="40"/>
            </w:pPr>
            <w:r/>
            <w:r>
              <w:rPr>
                <w:rFonts w:ascii="Aptos" w:hAnsi="Aptos"/>
                <w:b w:val="0"/>
                <w:color w:val="0B1736"/>
                <w:sz w:val="18"/>
              </w:rPr>
              <w:t>Agentic systems increase nondeterminism and governance needs</w:t>
            </w:r>
          </w:p>
        </w:tc>
        <w:tc>
          <w:tcPr>
            <w:tcW w:type="dxa" w:w="3528"/>
            <w:vAlign w:val="center"/>
            <w:shd w:fill="FFFFFF"/>
          </w:tcPr>
          <w:p>
            <w:pPr>
              <w:spacing w:after="40"/>
            </w:pPr>
            <w:r/>
            <w:r>
              <w:rPr>
                <w:rFonts w:ascii="Aptos" w:hAnsi="Aptos"/>
                <w:b w:val="0"/>
                <w:color w:val="0B1736"/>
                <w:sz w:val="18"/>
              </w:rPr>
              <w:t>Deterministic + adaptive orchestration becomes strategic</w:t>
            </w:r>
          </w:p>
        </w:tc>
      </w:tr>
      <w:tr>
        <w:tc>
          <w:tcPr>
            <w:tcW w:type="dxa" w:w="2232"/>
            <w:vAlign w:val="center"/>
            <w:shd w:fill="F7F8FA"/>
          </w:tcPr>
          <w:p>
            <w:pPr>
              <w:spacing w:after="40"/>
            </w:pPr>
            <w:r/>
            <w:r>
              <w:rPr>
                <w:rFonts w:ascii="Aptos" w:hAnsi="Aptos"/>
                <w:b w:val="0"/>
                <w:color w:val="0B1736"/>
                <w:sz w:val="18"/>
              </w:rPr>
              <w:t>Self-hosting remains relevant</w:t>
            </w:r>
          </w:p>
        </w:tc>
        <w:tc>
          <w:tcPr>
            <w:tcW w:type="dxa" w:w="3960"/>
            <w:vAlign w:val="center"/>
            <w:shd w:fill="F7F8FA"/>
          </w:tcPr>
          <w:p>
            <w:pPr>
              <w:spacing w:after="40"/>
            </w:pPr>
            <w:r/>
            <w:r>
              <w:rPr>
                <w:rFonts w:ascii="Aptos" w:hAnsi="Aptos"/>
                <w:b w:val="0"/>
                <w:color w:val="0B1736"/>
                <w:sz w:val="18"/>
              </w:rPr>
              <w:t>Leading vendors sell self-managed enterprise tiers</w:t>
            </w:r>
          </w:p>
        </w:tc>
        <w:tc>
          <w:tcPr>
            <w:tcW w:type="dxa" w:w="3528"/>
            <w:vAlign w:val="center"/>
            <w:shd w:fill="F7F8FA"/>
          </w:tcPr>
          <w:p>
            <w:pPr>
              <w:spacing w:after="40"/>
            </w:pPr>
            <w:r/>
            <w:r>
              <w:rPr>
                <w:rFonts w:ascii="Aptos" w:hAnsi="Aptos"/>
                <w:b w:val="0"/>
                <w:color w:val="0B1736"/>
                <w:sz w:val="18"/>
              </w:rPr>
              <w:t>Deployment control can be a commercial feature</w:t>
            </w:r>
          </w:p>
        </w:tc>
      </w:tr>
      <w:tr>
        <w:tc>
          <w:tcPr>
            <w:tcW w:type="dxa" w:w="2232"/>
            <w:vAlign w:val="center"/>
            <w:shd w:fill="FFFFFF"/>
          </w:tcPr>
          <w:p>
            <w:pPr>
              <w:spacing w:after="40"/>
            </w:pPr>
            <w:r/>
            <w:r>
              <w:rPr>
                <w:rFonts w:ascii="Aptos" w:hAnsi="Aptos"/>
                <w:b w:val="0"/>
                <w:color w:val="0B1736"/>
                <w:sz w:val="18"/>
              </w:rPr>
              <w:t>Human work persists</w:t>
            </w:r>
          </w:p>
        </w:tc>
        <w:tc>
          <w:tcPr>
            <w:tcW w:type="dxa" w:w="3960"/>
            <w:vAlign w:val="center"/>
            <w:shd w:fill="FFFFFF"/>
          </w:tcPr>
          <w:p>
            <w:pPr>
              <w:spacing w:after="40"/>
            </w:pPr>
            <w:r/>
            <w:r>
              <w:rPr>
                <w:rFonts w:ascii="Aptos" w:hAnsi="Aptos"/>
                <w:b w:val="0"/>
                <w:color w:val="0B1736"/>
                <w:sz w:val="18"/>
              </w:rPr>
              <w:t>Major orchestration platforms treat tasks as first-class</w:t>
            </w:r>
          </w:p>
        </w:tc>
        <w:tc>
          <w:tcPr>
            <w:tcW w:type="dxa" w:w="3528"/>
            <w:vAlign w:val="center"/>
            <w:shd w:fill="FFFFFF"/>
          </w:tcPr>
          <w:p>
            <w:pPr>
              <w:spacing w:after="40"/>
            </w:pPr>
            <w:r/>
            <w:r>
              <w:rPr>
                <w:rFonts w:ascii="Aptos" w:hAnsi="Aptos"/>
                <w:b w:val="0"/>
                <w:color w:val="0B1736"/>
                <w:sz w:val="18"/>
              </w:rPr>
              <w:t>Approvals and exceptions are a durable wedge</w:t>
            </w:r>
          </w:p>
        </w:tc>
      </w:tr>
    </w:tbl>
    <w:p>
      <w:pPr>
        <w:spacing w:after="20"/>
      </w:pPr>
    </w:p>
    <w:p>
      <w:pPr>
        <w:spacing w:before="40" w:after="100"/>
      </w:pPr>
      <w:r>
        <w:rPr>
          <w:i/>
          <w:color w:val="586174"/>
          <w:sz w:val="16"/>
        </w:rPr>
        <w:t>Source: Gartner BOAT forecast (May 2025); Gartner hyperautomation opportunity map (February 2025); Camunda, Temporal and n8n official product pages, accessed August 2026.</w:t>
      </w:r>
    </w:p>
    <w:p>
      <w:pPr>
        <w:pStyle w:val="Heading1"/>
      </w:pPr>
      <w:r>
        <w:t>5. Competitive landscape</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1944"/>
            <w:vAlign w:val="center"/>
            <w:shd w:fill="0B1736"/>
          </w:tcPr>
          <w:p>
            <w:pPr>
              <w:spacing w:after="40"/>
            </w:pPr>
            <w:r/>
            <w:r>
              <w:rPr>
                <w:rFonts w:ascii="Aptos" w:hAnsi="Aptos"/>
                <w:b/>
                <w:color w:val="FFFFFF"/>
                <w:sz w:val="18"/>
              </w:rPr>
              <w:t>Product</w:t>
            </w:r>
          </w:p>
        </w:tc>
        <w:tc>
          <w:tcPr>
            <w:tcW w:type="dxa" w:w="3600"/>
            <w:vAlign w:val="center"/>
            <w:shd w:fill="0B1736"/>
          </w:tcPr>
          <w:p>
            <w:pPr>
              <w:spacing w:after="40"/>
            </w:pPr>
            <w:r/>
            <w:r>
              <w:rPr>
                <w:rFonts w:ascii="Aptos" w:hAnsi="Aptos"/>
                <w:b/>
                <w:color w:val="FFFFFF"/>
                <w:sz w:val="18"/>
              </w:rPr>
              <w:t>Primary strength</w:t>
            </w:r>
          </w:p>
        </w:tc>
        <w:tc>
          <w:tcPr>
            <w:tcW w:type="dxa" w:w="4176"/>
            <w:vAlign w:val="center"/>
            <w:shd w:fill="0B1736"/>
          </w:tcPr>
          <w:p>
            <w:pPr>
              <w:spacing w:after="40"/>
            </w:pPr>
            <w:r/>
            <w:r>
              <w:rPr>
                <w:rFonts w:ascii="Aptos" w:hAnsi="Aptos"/>
                <w:b/>
                <w:color w:val="FFFFFF"/>
                <w:sz w:val="18"/>
              </w:rPr>
              <w:t>Where OrchPilot should differentiate</w:t>
            </w:r>
          </w:p>
        </w:tc>
      </w:tr>
      <w:tr>
        <w:tc>
          <w:tcPr>
            <w:tcW w:type="dxa" w:w="1944"/>
            <w:vAlign w:val="center"/>
            <w:shd w:fill="F7F8FA"/>
          </w:tcPr>
          <w:p>
            <w:pPr>
              <w:spacing w:after="40"/>
            </w:pPr>
            <w:r/>
            <w:r>
              <w:rPr>
                <w:rFonts w:ascii="Aptos" w:hAnsi="Aptos"/>
                <w:b w:val="0"/>
                <w:color w:val="0B1736"/>
                <w:sz w:val="18"/>
              </w:rPr>
              <w:t>Zapier / Make</w:t>
            </w:r>
          </w:p>
        </w:tc>
        <w:tc>
          <w:tcPr>
            <w:tcW w:type="dxa" w:w="3600"/>
            <w:vAlign w:val="center"/>
            <w:shd w:fill="F7F8FA"/>
          </w:tcPr>
          <w:p>
            <w:pPr>
              <w:spacing w:after="40"/>
            </w:pPr>
            <w:r/>
            <w:r>
              <w:rPr>
                <w:rFonts w:ascii="Aptos" w:hAnsi="Aptos"/>
                <w:b w:val="0"/>
                <w:color w:val="0B1736"/>
                <w:sz w:val="18"/>
              </w:rPr>
              <w:t>Accessibility and very broad SaaS connector ecosystems</w:t>
            </w:r>
          </w:p>
        </w:tc>
        <w:tc>
          <w:tcPr>
            <w:tcW w:type="dxa" w:w="4176"/>
            <w:vAlign w:val="center"/>
            <w:shd w:fill="F7F8FA"/>
          </w:tcPr>
          <w:p>
            <w:pPr>
              <w:spacing w:after="40"/>
            </w:pPr>
            <w:r/>
            <w:r>
              <w:rPr>
                <w:rFonts w:ascii="Aptos" w:hAnsi="Aptos"/>
                <w:b w:val="0"/>
                <w:color w:val="0B1736"/>
                <w:sz w:val="18"/>
              </w:rPr>
              <w:t>Do not compete on connector count; win governed, long-running operations</w:t>
            </w:r>
          </w:p>
        </w:tc>
      </w:tr>
      <w:tr>
        <w:tc>
          <w:tcPr>
            <w:tcW w:type="dxa" w:w="1944"/>
            <w:vAlign w:val="center"/>
            <w:shd w:fill="FFFFFF"/>
          </w:tcPr>
          <w:p>
            <w:pPr>
              <w:spacing w:after="40"/>
            </w:pPr>
            <w:r/>
            <w:r>
              <w:rPr>
                <w:rFonts w:ascii="Aptos" w:hAnsi="Aptos"/>
                <w:b w:val="0"/>
                <w:color w:val="0B1736"/>
                <w:sz w:val="18"/>
              </w:rPr>
              <w:t>n8n</w:t>
            </w:r>
          </w:p>
        </w:tc>
        <w:tc>
          <w:tcPr>
            <w:tcW w:type="dxa" w:w="3600"/>
            <w:vAlign w:val="center"/>
            <w:shd w:fill="FFFFFF"/>
          </w:tcPr>
          <w:p>
            <w:pPr>
              <w:spacing w:after="40"/>
            </w:pPr>
            <w:r/>
            <w:r>
              <w:rPr>
                <w:rFonts w:ascii="Aptos" w:hAnsi="Aptos"/>
                <w:b w:val="0"/>
                <w:color w:val="0B1736"/>
                <w:sz w:val="18"/>
              </w:rPr>
              <w:t>Flexible visual automation, self-hosting and technical-user adoption</w:t>
            </w:r>
          </w:p>
        </w:tc>
        <w:tc>
          <w:tcPr>
            <w:tcW w:type="dxa" w:w="4176"/>
            <w:vAlign w:val="center"/>
            <w:shd w:fill="FFFFFF"/>
          </w:tcPr>
          <w:p>
            <w:pPr>
              <w:spacing w:after="40"/>
            </w:pPr>
            <w:r/>
            <w:r>
              <w:rPr>
                <w:rFonts w:ascii="Aptos" w:hAnsi="Aptos"/>
                <w:b w:val="0"/>
                <w:color w:val="0B1736"/>
                <w:sz w:val="18"/>
              </w:rPr>
              <w:t>Stronger plugin isolation, human accountability and execution governance</w:t>
            </w:r>
          </w:p>
        </w:tc>
      </w:tr>
      <w:tr>
        <w:tc>
          <w:tcPr>
            <w:tcW w:type="dxa" w:w="1944"/>
            <w:vAlign w:val="center"/>
            <w:shd w:fill="F7F8FA"/>
          </w:tcPr>
          <w:p>
            <w:pPr>
              <w:spacing w:after="40"/>
            </w:pPr>
            <w:r/>
            <w:r>
              <w:rPr>
                <w:rFonts w:ascii="Aptos" w:hAnsi="Aptos"/>
                <w:b w:val="0"/>
                <w:color w:val="0B1736"/>
                <w:sz w:val="18"/>
              </w:rPr>
              <w:t>Camunda</w:t>
            </w:r>
          </w:p>
        </w:tc>
        <w:tc>
          <w:tcPr>
            <w:tcW w:type="dxa" w:w="3600"/>
            <w:vAlign w:val="center"/>
            <w:shd w:fill="F7F8FA"/>
          </w:tcPr>
          <w:p>
            <w:pPr>
              <w:spacing w:after="40"/>
            </w:pPr>
            <w:r/>
            <w:r>
              <w:rPr>
                <w:rFonts w:ascii="Aptos" w:hAnsi="Aptos"/>
                <w:b w:val="0"/>
                <w:color w:val="0B1736"/>
                <w:sz w:val="18"/>
              </w:rPr>
              <w:t>Enterprise process orchestration, BPMN, governance and scale</w:t>
            </w:r>
          </w:p>
        </w:tc>
        <w:tc>
          <w:tcPr>
            <w:tcW w:type="dxa" w:w="4176"/>
            <w:vAlign w:val="center"/>
            <w:shd w:fill="F7F8FA"/>
          </w:tcPr>
          <w:p>
            <w:pPr>
              <w:spacing w:after="40"/>
            </w:pPr>
            <w:r/>
            <w:r>
              <w:rPr>
                <w:rFonts w:ascii="Aptos" w:hAnsi="Aptos"/>
                <w:b w:val="0"/>
                <w:color w:val="0B1736"/>
                <w:sz w:val="18"/>
              </w:rPr>
              <w:t>Faster onboarding and a simpler plugin-native developer/operator experience</w:t>
            </w:r>
          </w:p>
        </w:tc>
      </w:tr>
      <w:tr>
        <w:tc>
          <w:tcPr>
            <w:tcW w:type="dxa" w:w="1944"/>
            <w:vAlign w:val="center"/>
            <w:shd w:fill="FFFFFF"/>
          </w:tcPr>
          <w:p>
            <w:pPr>
              <w:spacing w:after="40"/>
            </w:pPr>
            <w:r/>
            <w:r>
              <w:rPr>
                <w:rFonts w:ascii="Aptos" w:hAnsi="Aptos"/>
                <w:b w:val="0"/>
                <w:color w:val="0B1736"/>
                <w:sz w:val="18"/>
              </w:rPr>
              <w:t>Temporal</w:t>
            </w:r>
          </w:p>
        </w:tc>
        <w:tc>
          <w:tcPr>
            <w:tcW w:type="dxa" w:w="3600"/>
            <w:vAlign w:val="center"/>
            <w:shd w:fill="FFFFFF"/>
          </w:tcPr>
          <w:p>
            <w:pPr>
              <w:spacing w:after="40"/>
            </w:pPr>
            <w:r/>
            <w:r>
              <w:rPr>
                <w:rFonts w:ascii="Aptos" w:hAnsi="Aptos"/>
                <w:b w:val="0"/>
                <w:color w:val="0B1736"/>
                <w:sz w:val="18"/>
              </w:rPr>
              <w:t>Category-leading durable execution for developers</w:t>
            </w:r>
          </w:p>
        </w:tc>
        <w:tc>
          <w:tcPr>
            <w:tcW w:type="dxa" w:w="4176"/>
            <w:vAlign w:val="center"/>
            <w:shd w:fill="FFFFFF"/>
          </w:tcPr>
          <w:p>
            <w:pPr>
              <w:spacing w:after="40"/>
            </w:pPr>
            <w:r/>
            <w:r>
              <w:rPr>
                <w:rFonts w:ascii="Aptos" w:hAnsi="Aptos"/>
                <w:b w:val="0"/>
                <w:color w:val="0B1736"/>
                <w:sz w:val="18"/>
              </w:rPr>
              <w:t>Business-visible workflow design, human tasks and schema-driven integrations</w:t>
            </w:r>
          </w:p>
        </w:tc>
      </w:tr>
      <w:tr>
        <w:tc>
          <w:tcPr>
            <w:tcW w:type="dxa" w:w="1944"/>
            <w:vAlign w:val="center"/>
            <w:shd w:fill="F7F8FA"/>
          </w:tcPr>
          <w:p>
            <w:pPr>
              <w:spacing w:after="40"/>
            </w:pPr>
            <w:r/>
            <w:r>
              <w:rPr>
                <w:rFonts w:ascii="Aptos" w:hAnsi="Aptos"/>
                <w:b w:val="0"/>
                <w:color w:val="0B1736"/>
                <w:sz w:val="18"/>
              </w:rPr>
              <w:t>Workato / enterprise iPaaS</w:t>
            </w:r>
          </w:p>
        </w:tc>
        <w:tc>
          <w:tcPr>
            <w:tcW w:type="dxa" w:w="3600"/>
            <w:vAlign w:val="center"/>
            <w:shd w:fill="F7F8FA"/>
          </w:tcPr>
          <w:p>
            <w:pPr>
              <w:spacing w:after="40"/>
            </w:pPr>
            <w:r/>
            <w:r>
              <w:rPr>
                <w:rFonts w:ascii="Aptos" w:hAnsi="Aptos"/>
                <w:b w:val="0"/>
                <w:color w:val="0B1736"/>
                <w:sz w:val="18"/>
              </w:rPr>
              <w:t>Enterprise integrations, governance and services ecosystem</w:t>
            </w:r>
          </w:p>
        </w:tc>
        <w:tc>
          <w:tcPr>
            <w:tcW w:type="dxa" w:w="4176"/>
            <w:vAlign w:val="center"/>
            <w:shd w:fill="F7F8FA"/>
          </w:tcPr>
          <w:p>
            <w:pPr>
              <w:spacing w:after="40"/>
            </w:pPr>
            <w:r/>
            <w:r>
              <w:rPr>
                <w:rFonts w:ascii="Aptos" w:hAnsi="Aptos"/>
                <w:b w:val="0"/>
                <w:color w:val="0B1736"/>
                <w:sz w:val="18"/>
              </w:rPr>
              <w:t>Deployment control, developer extensibility and transparent execution economics</w:t>
            </w:r>
          </w:p>
        </w:tc>
      </w:tr>
    </w:tbl>
    <w:p>
      <w:pPr>
        <w:spacing w:after="20"/>
      </w:pPr>
    </w:p>
    <w:p>
      <w:r>
        <w:t>The defensible positioning is a governed orchestration control plane that is easier to adopt than BPMN-heavy suites, more operationally accountable than general automation tools, and more business-visible than code-only durable execution.</w:t>
      </w:r>
    </w:p>
    <w:p>
      <w:pPr>
        <w:pStyle w:val="Heading1"/>
      </w:pPr>
      <w:r>
        <w:t>6. Beachhead, impact and go-to-market</w:t>
      </w:r>
    </w:p>
    <w:p>
      <w:pPr>
        <w:pStyle w:val="Heading2"/>
      </w:pPr>
      <w:r>
        <w:t>Recommended beachhead</w:t>
      </w:r>
    </w:p>
    <w:p>
      <w:r>
        <w:t>Target platform engineering, regulated operations and IT service-delivery teams in 500–5,000 employee organizations. These teams have hybrid systems, recurring approval-heavy processes, explicit compliance owners and enough failure cost to pay for orchestration reliability.</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2448"/>
            <w:vAlign w:val="center"/>
            <w:shd w:fill="0B1736"/>
          </w:tcPr>
          <w:p>
            <w:pPr>
              <w:spacing w:after="40"/>
            </w:pPr>
            <w:r/>
            <w:r>
              <w:rPr>
                <w:rFonts w:ascii="Aptos" w:hAnsi="Aptos"/>
                <w:b/>
                <w:color w:val="FFFFFF"/>
                <w:sz w:val="18"/>
              </w:rPr>
              <w:t>Beachhead workflow</w:t>
            </w:r>
          </w:p>
        </w:tc>
        <w:tc>
          <w:tcPr>
            <w:tcW w:type="dxa" w:w="3528"/>
            <w:vAlign w:val="center"/>
            <w:shd w:fill="0B1736"/>
          </w:tcPr>
          <w:p>
            <w:pPr>
              <w:spacing w:after="40"/>
            </w:pPr>
            <w:r/>
            <w:r>
              <w:rPr>
                <w:rFonts w:ascii="Aptos" w:hAnsi="Aptos"/>
                <w:b/>
                <w:color w:val="FFFFFF"/>
                <w:sz w:val="18"/>
              </w:rPr>
              <w:t>Why it fits</w:t>
            </w:r>
          </w:p>
        </w:tc>
        <w:tc>
          <w:tcPr>
            <w:tcW w:type="dxa" w:w="3744"/>
            <w:vAlign w:val="center"/>
            <w:shd w:fill="0B1736"/>
          </w:tcPr>
          <w:p>
            <w:pPr>
              <w:spacing w:after="40"/>
            </w:pPr>
            <w:r/>
            <w:r>
              <w:rPr>
                <w:rFonts w:ascii="Aptos" w:hAnsi="Aptos"/>
                <w:b/>
                <w:color w:val="FFFFFF"/>
                <w:sz w:val="18"/>
              </w:rPr>
              <w:t>Measure before / after</w:t>
            </w:r>
          </w:p>
        </w:tc>
      </w:tr>
      <w:tr>
        <w:tc>
          <w:tcPr>
            <w:tcW w:type="dxa" w:w="2448"/>
            <w:vAlign w:val="center"/>
            <w:shd w:fill="F7F8FA"/>
          </w:tcPr>
          <w:p>
            <w:pPr>
              <w:spacing w:after="40"/>
            </w:pPr>
            <w:r/>
            <w:r>
              <w:rPr>
                <w:rFonts w:ascii="Aptos" w:hAnsi="Aptos"/>
                <w:b w:val="0"/>
                <w:color w:val="0B1736"/>
                <w:sz w:val="18"/>
              </w:rPr>
              <w:t>Cloud access &amp; provisioning</w:t>
            </w:r>
          </w:p>
        </w:tc>
        <w:tc>
          <w:tcPr>
            <w:tcW w:type="dxa" w:w="3528"/>
            <w:vAlign w:val="center"/>
            <w:shd w:fill="F7F8FA"/>
          </w:tcPr>
          <w:p>
            <w:pPr>
              <w:spacing w:after="40"/>
            </w:pPr>
            <w:r/>
            <w:r>
              <w:rPr>
                <w:rFonts w:ascii="Aptos" w:hAnsi="Aptos"/>
                <w:b w:val="0"/>
                <w:color w:val="0B1736"/>
                <w:sz w:val="18"/>
              </w:rPr>
              <w:t>Plugins + approvals + rollback + audit</w:t>
            </w:r>
          </w:p>
        </w:tc>
        <w:tc>
          <w:tcPr>
            <w:tcW w:type="dxa" w:w="3744"/>
            <w:vAlign w:val="center"/>
            <w:shd w:fill="F7F8FA"/>
          </w:tcPr>
          <w:p>
            <w:pPr>
              <w:spacing w:after="40"/>
            </w:pPr>
            <w:r/>
            <w:r>
              <w:rPr>
                <w:rFonts w:ascii="Aptos" w:hAnsi="Aptos"/>
                <w:b w:val="0"/>
                <w:color w:val="0B1736"/>
                <w:sz w:val="18"/>
              </w:rPr>
              <w:t>Lead time, failed changes, manual touches</w:t>
            </w:r>
          </w:p>
        </w:tc>
      </w:tr>
      <w:tr>
        <w:tc>
          <w:tcPr>
            <w:tcW w:type="dxa" w:w="2448"/>
            <w:vAlign w:val="center"/>
            <w:shd w:fill="FFFFFF"/>
          </w:tcPr>
          <w:p>
            <w:pPr>
              <w:spacing w:after="40"/>
            </w:pPr>
            <w:r/>
            <w:r>
              <w:rPr>
                <w:rFonts w:ascii="Aptos" w:hAnsi="Aptos"/>
                <w:b w:val="0"/>
                <w:color w:val="0B1736"/>
                <w:sz w:val="18"/>
              </w:rPr>
              <w:t>Customer onboarding / KYC exception</w:t>
            </w:r>
          </w:p>
        </w:tc>
        <w:tc>
          <w:tcPr>
            <w:tcW w:type="dxa" w:w="3528"/>
            <w:vAlign w:val="center"/>
            <w:shd w:fill="FFFFFF"/>
          </w:tcPr>
          <w:p>
            <w:pPr>
              <w:spacing w:after="40"/>
            </w:pPr>
            <w:r/>
            <w:r>
              <w:rPr>
                <w:rFonts w:ascii="Aptos" w:hAnsi="Aptos"/>
                <w:b w:val="0"/>
                <w:color w:val="0B1736"/>
                <w:sz w:val="18"/>
              </w:rPr>
              <w:t>Forms + human judgment + immutable history</w:t>
            </w:r>
          </w:p>
        </w:tc>
        <w:tc>
          <w:tcPr>
            <w:tcW w:type="dxa" w:w="3744"/>
            <w:vAlign w:val="center"/>
            <w:shd w:fill="FFFFFF"/>
          </w:tcPr>
          <w:p>
            <w:pPr>
              <w:spacing w:after="40"/>
            </w:pPr>
            <w:r/>
            <w:r>
              <w:rPr>
                <w:rFonts w:ascii="Aptos" w:hAnsi="Aptos"/>
                <w:b w:val="0"/>
                <w:color w:val="0B1736"/>
                <w:sz w:val="18"/>
              </w:rPr>
              <w:t>Cycle time, rework, SLA breaches</w:t>
            </w:r>
          </w:p>
        </w:tc>
      </w:tr>
      <w:tr>
        <w:tc>
          <w:tcPr>
            <w:tcW w:type="dxa" w:w="2448"/>
            <w:vAlign w:val="center"/>
            <w:shd w:fill="F7F8FA"/>
          </w:tcPr>
          <w:p>
            <w:pPr>
              <w:spacing w:after="40"/>
            </w:pPr>
            <w:r/>
            <w:r>
              <w:rPr>
                <w:rFonts w:ascii="Aptos" w:hAnsi="Aptos"/>
                <w:b w:val="0"/>
                <w:color w:val="0B1736"/>
                <w:sz w:val="18"/>
              </w:rPr>
              <w:t>Incident remediation</w:t>
            </w:r>
          </w:p>
        </w:tc>
        <w:tc>
          <w:tcPr>
            <w:tcW w:type="dxa" w:w="3528"/>
            <w:vAlign w:val="center"/>
            <w:shd w:fill="F7F8FA"/>
          </w:tcPr>
          <w:p>
            <w:pPr>
              <w:spacing w:after="40"/>
            </w:pPr>
            <w:r/>
            <w:r>
              <w:rPr>
                <w:rFonts w:ascii="Aptos" w:hAnsi="Aptos"/>
                <w:b w:val="0"/>
                <w:color w:val="0B1736"/>
                <w:sz w:val="18"/>
              </w:rPr>
              <w:t>Events + automation + escalation + evidence</w:t>
            </w:r>
          </w:p>
        </w:tc>
        <w:tc>
          <w:tcPr>
            <w:tcW w:type="dxa" w:w="3744"/>
            <w:vAlign w:val="center"/>
            <w:shd w:fill="F7F8FA"/>
          </w:tcPr>
          <w:p>
            <w:pPr>
              <w:spacing w:after="40"/>
            </w:pPr>
            <w:r/>
            <w:r>
              <w:rPr>
                <w:rFonts w:ascii="Aptos" w:hAnsi="Aptos"/>
                <w:b w:val="0"/>
                <w:color w:val="0B1736"/>
                <w:sz w:val="18"/>
              </w:rPr>
              <w:t>MTTR, repeat incidents, operator time</w:t>
            </w:r>
          </w:p>
        </w:tc>
      </w:tr>
      <w:tr>
        <w:tc>
          <w:tcPr>
            <w:tcW w:type="dxa" w:w="2448"/>
            <w:vAlign w:val="center"/>
            <w:shd w:fill="FFFFFF"/>
          </w:tcPr>
          <w:p>
            <w:pPr>
              <w:spacing w:after="40"/>
            </w:pPr>
            <w:r/>
            <w:r>
              <w:rPr>
                <w:rFonts w:ascii="Aptos" w:hAnsi="Aptos"/>
                <w:b w:val="0"/>
                <w:color w:val="0B1736"/>
                <w:sz w:val="18"/>
              </w:rPr>
              <w:t>Vendor / security review</w:t>
            </w:r>
          </w:p>
        </w:tc>
        <w:tc>
          <w:tcPr>
            <w:tcW w:type="dxa" w:w="3528"/>
            <w:vAlign w:val="center"/>
            <w:shd w:fill="FFFFFF"/>
          </w:tcPr>
          <w:p>
            <w:pPr>
              <w:spacing w:after="40"/>
            </w:pPr>
            <w:r/>
            <w:r>
              <w:rPr>
                <w:rFonts w:ascii="Aptos" w:hAnsi="Aptos"/>
                <w:b w:val="0"/>
                <w:color w:val="0B1736"/>
                <w:sz w:val="18"/>
              </w:rPr>
              <w:t>Long-running tasks + documents + approvals</w:t>
            </w:r>
          </w:p>
        </w:tc>
        <w:tc>
          <w:tcPr>
            <w:tcW w:type="dxa" w:w="3744"/>
            <w:vAlign w:val="center"/>
            <w:shd w:fill="FFFFFF"/>
          </w:tcPr>
          <w:p>
            <w:pPr>
              <w:spacing w:after="40"/>
            </w:pPr>
            <w:r/>
            <w:r>
              <w:rPr>
                <w:rFonts w:ascii="Aptos" w:hAnsi="Aptos"/>
                <w:b w:val="0"/>
                <w:color w:val="0B1736"/>
                <w:sz w:val="18"/>
              </w:rPr>
              <w:t>Days to decision, overdue tasks, audit prep</w:t>
            </w:r>
          </w:p>
        </w:tc>
      </w:tr>
    </w:tbl>
    <w:p>
      <w:pPr>
        <w:spacing w:after="20"/>
      </w:pPr>
    </w:p>
    <w:p>
      <w:pPr>
        <w:pStyle w:val="Heading2"/>
      </w:pPr>
      <w:r>
        <w:t>Why this can create market impact</w:t>
      </w:r>
    </w:p>
    <w:p>
      <w:pPr>
        <w:pStyle w:val="ListBullet"/>
        <w:spacing w:after="80"/>
      </w:pPr>
      <w:r>
        <w:t>Turn fragile tribal processes into explicit, versioned operational assets.</w:t>
      </w:r>
    </w:p>
    <w:p>
      <w:pPr>
        <w:pStyle w:val="ListBullet"/>
        <w:spacing w:after="80"/>
      </w:pPr>
      <w:r>
        <w:t>Let organizations adopt AI for exceptions without surrendering auditability or deterministic control.</w:t>
      </w:r>
    </w:p>
    <w:p>
      <w:pPr>
        <w:pStyle w:val="ListBullet"/>
        <w:spacing w:after="80"/>
      </w:pPr>
      <w:r>
        <w:t>Give internal platform teams a reusable self-service layer instead of bespoke portals and scripts for every request.</w:t>
      </w:r>
    </w:p>
    <w:p>
      <w:pPr>
        <w:pStyle w:val="ListBullet"/>
        <w:spacing w:after="80"/>
      </w:pPr>
      <w:r>
        <w:t>Create a plugin supply chain where partners package domain operations once and customers govern their use centrally.</w:t>
      </w:r>
    </w:p>
    <w:p>
      <w:pPr>
        <w:pStyle w:val="Heading2"/>
      </w:pPr>
      <w:r>
        <w:t>Go-to-market motion</w:t>
      </w:r>
    </w:p>
    <w:p>
      <w:pPr>
        <w:pStyle w:val="ListBullet"/>
        <w:spacing w:after="80"/>
      </w:pPr>
      <w:r>
        <w:t>Founder-led discovery: interview 25 process owners and platform leaders; score pain, frequency, compliance and budget ownership.</w:t>
      </w:r>
    </w:p>
    <w:p>
      <w:pPr>
        <w:pStyle w:val="ListBullet"/>
        <w:spacing w:after="80"/>
      </w:pPr>
      <w:r>
        <w:t>Five design partners: implement one workflow each under a fixed success plan with baseline metrics.</w:t>
      </w:r>
    </w:p>
    <w:p>
      <w:pPr>
        <w:pStyle w:val="ListBullet"/>
        <w:spacing w:after="80"/>
      </w:pPr>
      <w:r>
        <w:t>Convert three paid pilots: annual platform commitment plus scoped launch package; price before building custom breadth.</w:t>
      </w:r>
    </w:p>
    <w:p>
      <w:pPr>
        <w:pStyle w:val="ListBullet"/>
        <w:spacing w:after="80"/>
      </w:pPr>
      <w:r>
        <w:t>Publish proof: architecture/security brief, reliability benchmark and two quantified case studies.</w:t>
      </w:r>
    </w:p>
    <w:p>
      <w:pPr>
        <w:pStyle w:val="ListBullet"/>
        <w:spacing w:after="80"/>
      </w:pPr>
      <w:r>
        <w:t>Build channel leverage: certify specialist integrators and plugin authors around one vertical pack.</w:t>
      </w:r>
    </w:p>
    <w:p>
      <w:pPr>
        <w:pStyle w:val="Heading1"/>
      </w:pPr>
      <w:r>
        <w:t>7. Business model recommendation</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2088"/>
            <w:vAlign w:val="center"/>
            <w:shd w:fill="0B1736"/>
          </w:tcPr>
          <w:p>
            <w:pPr>
              <w:spacing w:after="40"/>
            </w:pPr>
            <w:r/>
            <w:r>
              <w:rPr>
                <w:rFonts w:ascii="Aptos" w:hAnsi="Aptos"/>
                <w:b/>
                <w:color w:val="FFFFFF"/>
                <w:sz w:val="18"/>
              </w:rPr>
              <w:t>Revenue stream</w:t>
            </w:r>
          </w:p>
        </w:tc>
        <w:tc>
          <w:tcPr>
            <w:tcW w:type="dxa" w:w="4320"/>
            <w:vAlign w:val="center"/>
            <w:shd w:fill="0B1736"/>
          </w:tcPr>
          <w:p>
            <w:pPr>
              <w:spacing w:after="40"/>
            </w:pPr>
            <w:r/>
            <w:r>
              <w:rPr>
                <w:rFonts w:ascii="Aptos" w:hAnsi="Aptos"/>
                <w:b/>
                <w:color w:val="FFFFFF"/>
                <w:sz w:val="18"/>
              </w:rPr>
              <w:t>Recommended structure</w:t>
            </w:r>
          </w:p>
        </w:tc>
        <w:tc>
          <w:tcPr>
            <w:tcW w:type="dxa" w:w="3312"/>
            <w:vAlign w:val="center"/>
            <w:shd w:fill="0B1736"/>
          </w:tcPr>
          <w:p>
            <w:pPr>
              <w:spacing w:after="40"/>
            </w:pPr>
            <w:r/>
            <w:r>
              <w:rPr>
                <w:rFonts w:ascii="Aptos" w:hAnsi="Aptos"/>
                <w:b/>
                <w:color w:val="FFFFFF"/>
                <w:sz w:val="18"/>
              </w:rPr>
              <w:t>Validation question</w:t>
            </w:r>
          </w:p>
        </w:tc>
      </w:tr>
      <w:tr>
        <w:tc>
          <w:tcPr>
            <w:tcW w:type="dxa" w:w="2088"/>
            <w:vAlign w:val="center"/>
            <w:shd w:fill="F7F8FA"/>
          </w:tcPr>
          <w:p>
            <w:pPr>
              <w:spacing w:after="40"/>
            </w:pPr>
            <w:r/>
            <w:r>
              <w:rPr>
                <w:rFonts w:ascii="Aptos" w:hAnsi="Aptos"/>
                <w:b w:val="0"/>
                <w:color w:val="0B1736"/>
                <w:sz w:val="18"/>
              </w:rPr>
              <w:t>Platform subscription</w:t>
            </w:r>
          </w:p>
        </w:tc>
        <w:tc>
          <w:tcPr>
            <w:tcW w:type="dxa" w:w="4320"/>
            <w:vAlign w:val="center"/>
            <w:shd w:fill="F7F8FA"/>
          </w:tcPr>
          <w:p>
            <w:pPr>
              <w:spacing w:after="40"/>
            </w:pPr>
            <w:r/>
            <w:r>
              <w:rPr>
                <w:rFonts w:ascii="Aptos" w:hAnsi="Aptos"/>
                <w:b w:val="0"/>
                <w:color w:val="0B1736"/>
                <w:sz w:val="18"/>
              </w:rPr>
              <w:t>Annual contract by environment / deployment tier</w:t>
            </w:r>
          </w:p>
        </w:tc>
        <w:tc>
          <w:tcPr>
            <w:tcW w:type="dxa" w:w="3312"/>
            <w:vAlign w:val="center"/>
            <w:shd w:fill="F7F8FA"/>
          </w:tcPr>
          <w:p>
            <w:pPr>
              <w:spacing w:after="40"/>
            </w:pPr>
            <w:r/>
            <w:r>
              <w:rPr>
                <w:rFonts w:ascii="Aptos" w:hAnsi="Aptos"/>
                <w:b w:val="0"/>
                <w:color w:val="0B1736"/>
                <w:sz w:val="18"/>
              </w:rPr>
              <w:t>Will governance and support unlock budget?</w:t>
            </w:r>
          </w:p>
        </w:tc>
      </w:tr>
      <w:tr>
        <w:tc>
          <w:tcPr>
            <w:tcW w:type="dxa" w:w="2088"/>
            <w:vAlign w:val="center"/>
            <w:shd w:fill="FFFFFF"/>
          </w:tcPr>
          <w:p>
            <w:pPr>
              <w:spacing w:after="40"/>
            </w:pPr>
            <w:r/>
            <w:r>
              <w:rPr>
                <w:rFonts w:ascii="Aptos" w:hAnsi="Aptos"/>
                <w:b w:val="0"/>
                <w:color w:val="0B1736"/>
                <w:sz w:val="18"/>
              </w:rPr>
              <w:t>Execution bands</w:t>
            </w:r>
          </w:p>
        </w:tc>
        <w:tc>
          <w:tcPr>
            <w:tcW w:type="dxa" w:w="4320"/>
            <w:vAlign w:val="center"/>
            <w:shd w:fill="FFFFFF"/>
          </w:tcPr>
          <w:p>
            <w:pPr>
              <w:spacing w:after="40"/>
            </w:pPr>
            <w:r/>
            <w:r>
              <w:rPr>
                <w:rFonts w:ascii="Aptos" w:hAnsi="Aptos"/>
                <w:b w:val="0"/>
                <w:color w:val="0B1736"/>
                <w:sz w:val="18"/>
              </w:rPr>
              <w:t>Committed annual executions with transparent overage</w:t>
            </w:r>
          </w:p>
        </w:tc>
        <w:tc>
          <w:tcPr>
            <w:tcW w:type="dxa" w:w="3312"/>
            <w:vAlign w:val="center"/>
            <w:shd w:fill="FFFFFF"/>
          </w:tcPr>
          <w:p>
            <w:pPr>
              <w:spacing w:after="40"/>
            </w:pPr>
            <w:r/>
            <w:r>
              <w:rPr>
                <w:rFonts w:ascii="Aptos" w:hAnsi="Aptos"/>
                <w:b w:val="0"/>
                <w:color w:val="0B1736"/>
                <w:sz w:val="18"/>
              </w:rPr>
              <w:t>Does usage track customer value predictably?</w:t>
            </w:r>
          </w:p>
        </w:tc>
      </w:tr>
      <w:tr>
        <w:tc>
          <w:tcPr>
            <w:tcW w:type="dxa" w:w="2088"/>
            <w:vAlign w:val="center"/>
            <w:shd w:fill="F7F8FA"/>
          </w:tcPr>
          <w:p>
            <w:pPr>
              <w:spacing w:after="40"/>
            </w:pPr>
            <w:r/>
            <w:r>
              <w:rPr>
                <w:rFonts w:ascii="Aptos" w:hAnsi="Aptos"/>
                <w:b w:val="0"/>
                <w:color w:val="0B1736"/>
                <w:sz w:val="18"/>
              </w:rPr>
              <w:t>Plugin marketplace</w:t>
            </w:r>
          </w:p>
        </w:tc>
        <w:tc>
          <w:tcPr>
            <w:tcW w:type="dxa" w:w="4320"/>
            <w:vAlign w:val="center"/>
            <w:shd w:fill="F7F8FA"/>
          </w:tcPr>
          <w:p>
            <w:pPr>
              <w:spacing w:after="40"/>
            </w:pPr>
            <w:r/>
            <w:r>
              <w:rPr>
                <w:rFonts w:ascii="Aptos" w:hAnsi="Aptos"/>
                <w:b w:val="0"/>
                <w:color w:val="0B1736"/>
                <w:sz w:val="18"/>
              </w:rPr>
              <w:t>Certified paid plugins and private enterprise catalogues</w:t>
            </w:r>
          </w:p>
        </w:tc>
        <w:tc>
          <w:tcPr>
            <w:tcW w:type="dxa" w:w="3312"/>
            <w:vAlign w:val="center"/>
            <w:shd w:fill="F7F8FA"/>
          </w:tcPr>
          <w:p>
            <w:pPr>
              <w:spacing w:after="40"/>
            </w:pPr>
            <w:r/>
            <w:r>
              <w:rPr>
                <w:rFonts w:ascii="Aptos" w:hAnsi="Aptos"/>
                <w:b w:val="0"/>
                <w:color w:val="0B1736"/>
                <w:sz w:val="18"/>
              </w:rPr>
              <w:t>Will partners build and customers pay for governed supply?</w:t>
            </w:r>
          </w:p>
        </w:tc>
      </w:tr>
      <w:tr>
        <w:tc>
          <w:tcPr>
            <w:tcW w:type="dxa" w:w="2088"/>
            <w:vAlign w:val="center"/>
            <w:shd w:fill="FFFFFF"/>
          </w:tcPr>
          <w:p>
            <w:pPr>
              <w:spacing w:after="40"/>
            </w:pPr>
            <w:r/>
            <w:r>
              <w:rPr>
                <w:rFonts w:ascii="Aptos" w:hAnsi="Aptos"/>
                <w:b w:val="0"/>
                <w:color w:val="0B1736"/>
                <w:sz w:val="18"/>
              </w:rPr>
              <w:t>Launch services</w:t>
            </w:r>
          </w:p>
        </w:tc>
        <w:tc>
          <w:tcPr>
            <w:tcW w:type="dxa" w:w="4320"/>
            <w:vAlign w:val="center"/>
            <w:shd w:fill="FFFFFF"/>
          </w:tcPr>
          <w:p>
            <w:pPr>
              <w:spacing w:after="40"/>
            </w:pPr>
            <w:r/>
            <w:r>
              <w:rPr>
                <w:rFonts w:ascii="Aptos" w:hAnsi="Aptos"/>
                <w:b w:val="0"/>
                <w:color w:val="0B1736"/>
                <w:sz w:val="18"/>
              </w:rPr>
              <w:t>Fixed-scope implementation and enablement</w:t>
            </w:r>
          </w:p>
        </w:tc>
        <w:tc>
          <w:tcPr>
            <w:tcW w:type="dxa" w:w="3312"/>
            <w:vAlign w:val="center"/>
            <w:shd w:fill="FFFFFF"/>
          </w:tcPr>
          <w:p>
            <w:pPr>
              <w:spacing w:after="40"/>
            </w:pPr>
            <w:r/>
            <w:r>
              <w:rPr>
                <w:rFonts w:ascii="Aptos" w:hAnsi="Aptos"/>
                <w:b w:val="0"/>
                <w:color w:val="0B1736"/>
                <w:sz w:val="18"/>
              </w:rPr>
              <w:t>Can services produce repeatable templates rather than custom debt?</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878"/>
            <w:shd w:fill="EDF4FF"/>
            <w:vAlign w:val="center"/>
          </w:tcPr>
          <w:p>
            <w:pPr>
              <w:spacing w:after="40"/>
            </w:pPr>
            <w:r/>
            <w:r>
              <w:rPr>
                <w:rFonts w:ascii="Aptos" w:hAnsi="Aptos"/>
                <w:b/>
                <w:color w:val="0B1736"/>
                <w:sz w:val="21"/>
              </w:rPr>
              <w:t>Treat pricing as a testable hypothesis. Do not publish tiers until five design-partner conversations reveal procurement anchors and usage patterns.</w:t>
            </w:r>
          </w:p>
        </w:tc>
      </w:tr>
    </w:tbl>
    <w:p>
      <w:pPr>
        <w:spacing w:after="20"/>
      </w:pPr>
    </w:p>
    <w:p>
      <w:r>
        <w:br w:type="page"/>
      </w:r>
    </w:p>
    <w:p>
      <w:pPr>
        <w:pStyle w:val="Heading1"/>
      </w:pPr>
      <w:r>
        <w:t>8. Eighteen-month product roadmap</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2469"/>
        <w:gridCol w:w="2469"/>
        <w:gridCol w:w="2469"/>
        <w:gridCol w:w="2469"/>
      </w:tblGrid>
      <w:tr>
        <w:tc>
          <w:tcPr>
            <w:tcW w:type="dxa" w:w="1224"/>
            <w:vAlign w:val="center"/>
            <w:shd w:fill="0B1736"/>
          </w:tcPr>
          <w:p>
            <w:pPr>
              <w:spacing w:after="40"/>
            </w:pPr>
            <w:r/>
            <w:r>
              <w:rPr>
                <w:rFonts w:ascii="Aptos" w:hAnsi="Aptos"/>
                <w:b/>
                <w:color w:val="FFFFFF"/>
                <w:sz w:val="18"/>
              </w:rPr>
              <w:t>Phase</w:t>
            </w:r>
          </w:p>
        </w:tc>
        <w:tc>
          <w:tcPr>
            <w:tcW w:type="dxa" w:w="1944"/>
            <w:vAlign w:val="center"/>
            <w:shd w:fill="0B1736"/>
          </w:tcPr>
          <w:p>
            <w:pPr>
              <w:spacing w:after="40"/>
            </w:pPr>
            <w:r/>
            <w:r>
              <w:rPr>
                <w:rFonts w:ascii="Aptos" w:hAnsi="Aptos"/>
                <w:b/>
                <w:color w:val="FFFFFF"/>
                <w:sz w:val="18"/>
              </w:rPr>
              <w:t>Outcome</w:t>
            </w:r>
          </w:p>
        </w:tc>
        <w:tc>
          <w:tcPr>
            <w:tcW w:type="dxa" w:w="4608"/>
            <w:vAlign w:val="center"/>
            <w:shd w:fill="0B1736"/>
          </w:tcPr>
          <w:p>
            <w:pPr>
              <w:spacing w:after="40"/>
            </w:pPr>
            <w:r/>
            <w:r>
              <w:rPr>
                <w:rFonts w:ascii="Aptos" w:hAnsi="Aptos"/>
                <w:b/>
                <w:color w:val="FFFFFF"/>
                <w:sz w:val="18"/>
              </w:rPr>
              <w:t>Product priorities</w:t>
            </w:r>
          </w:p>
        </w:tc>
        <w:tc>
          <w:tcPr>
            <w:tcW w:type="dxa" w:w="1944"/>
            <w:vAlign w:val="center"/>
            <w:shd w:fill="0B1736"/>
          </w:tcPr>
          <w:p>
            <w:pPr>
              <w:spacing w:after="40"/>
            </w:pPr>
            <w:r/>
            <w:r>
              <w:rPr>
                <w:rFonts w:ascii="Aptos" w:hAnsi="Aptos"/>
                <w:b/>
                <w:color w:val="FFFFFF"/>
                <w:sz w:val="18"/>
              </w:rPr>
              <w:t>Evidence gate</w:t>
            </w:r>
          </w:p>
        </w:tc>
      </w:tr>
      <w:tr>
        <w:tc>
          <w:tcPr>
            <w:tcW w:type="dxa" w:w="1224"/>
            <w:vAlign w:val="center"/>
            <w:shd w:fill="F7F8FA"/>
          </w:tcPr>
          <w:p>
            <w:pPr>
              <w:spacing w:after="40"/>
            </w:pPr>
            <w:r/>
            <w:r>
              <w:rPr>
                <w:rFonts w:ascii="Aptos" w:hAnsi="Aptos"/>
                <w:b w:val="0"/>
                <w:color w:val="0B1736"/>
                <w:sz w:val="18"/>
              </w:rPr>
              <w:t>0–3 months</w:t>
            </w:r>
          </w:p>
        </w:tc>
        <w:tc>
          <w:tcPr>
            <w:tcW w:type="dxa" w:w="1944"/>
            <w:vAlign w:val="center"/>
            <w:shd w:fill="F7F8FA"/>
          </w:tcPr>
          <w:p>
            <w:pPr>
              <w:spacing w:after="40"/>
            </w:pPr>
            <w:r/>
            <w:r>
              <w:rPr>
                <w:rFonts w:ascii="Aptos" w:hAnsi="Aptos"/>
                <w:b w:val="0"/>
                <w:color w:val="0B1736"/>
                <w:sz w:val="18"/>
              </w:rPr>
              <w:t>Prove the wedge</w:t>
            </w:r>
          </w:p>
        </w:tc>
        <w:tc>
          <w:tcPr>
            <w:tcW w:type="dxa" w:w="4608"/>
            <w:vAlign w:val="center"/>
            <w:shd w:fill="F7F8FA"/>
          </w:tcPr>
          <w:p>
            <w:pPr>
              <w:spacing w:after="40"/>
            </w:pPr>
            <w:r/>
            <w:r>
              <w:rPr>
                <w:rFonts w:ascii="Aptos" w:hAnsi="Aptos"/>
                <w:b w:val="0"/>
                <w:color w:val="0B1736"/>
                <w:sz w:val="18"/>
              </w:rPr>
              <w:t>Install path, first-use UX, vertical workflow pack, discovery instrumentation</w:t>
            </w:r>
          </w:p>
        </w:tc>
        <w:tc>
          <w:tcPr>
            <w:tcW w:type="dxa" w:w="1944"/>
            <w:vAlign w:val="center"/>
            <w:shd w:fill="F7F8FA"/>
          </w:tcPr>
          <w:p>
            <w:pPr>
              <w:spacing w:after="40"/>
            </w:pPr>
            <w:r/>
            <w:r>
              <w:rPr>
                <w:rFonts w:ascii="Aptos" w:hAnsi="Aptos"/>
                <w:b w:val="0"/>
                <w:color w:val="0B1736"/>
                <w:sz w:val="18"/>
              </w:rPr>
              <w:t>5 design partners; one process baseline each</w:t>
            </w:r>
          </w:p>
        </w:tc>
      </w:tr>
      <w:tr>
        <w:tc>
          <w:tcPr>
            <w:tcW w:type="dxa" w:w="1224"/>
            <w:vAlign w:val="center"/>
            <w:shd w:fill="FFFFFF"/>
          </w:tcPr>
          <w:p>
            <w:pPr>
              <w:spacing w:after="40"/>
            </w:pPr>
            <w:r/>
            <w:r>
              <w:rPr>
                <w:rFonts w:ascii="Aptos" w:hAnsi="Aptos"/>
                <w:b w:val="0"/>
                <w:color w:val="0B1736"/>
                <w:sz w:val="18"/>
              </w:rPr>
              <w:t>4–9 months</w:t>
            </w:r>
          </w:p>
        </w:tc>
        <w:tc>
          <w:tcPr>
            <w:tcW w:type="dxa" w:w="1944"/>
            <w:vAlign w:val="center"/>
            <w:shd w:fill="FFFFFF"/>
          </w:tcPr>
          <w:p>
            <w:pPr>
              <w:spacing w:after="40"/>
            </w:pPr>
            <w:r/>
            <w:r>
              <w:rPr>
                <w:rFonts w:ascii="Aptos" w:hAnsi="Aptos"/>
                <w:b w:val="0"/>
                <w:color w:val="0B1736"/>
                <w:sz w:val="18"/>
              </w:rPr>
              <w:t>Earn enterprise trust</w:t>
            </w:r>
          </w:p>
        </w:tc>
        <w:tc>
          <w:tcPr>
            <w:tcW w:type="dxa" w:w="4608"/>
            <w:vAlign w:val="center"/>
            <w:shd w:fill="FFFFFF"/>
          </w:tcPr>
          <w:p>
            <w:pPr>
              <w:spacing w:after="40"/>
            </w:pPr>
            <w:r/>
            <w:r>
              <w:rPr>
                <w:rFonts w:ascii="Aptos" w:hAnsi="Aptos"/>
                <w:b w:val="0"/>
                <w:color w:val="0B1736"/>
                <w:sz w:val="18"/>
              </w:rPr>
              <w:t>SSO/SCIM, HA topology, observability, external secrets, backup/restore, policy controls</w:t>
            </w:r>
          </w:p>
        </w:tc>
        <w:tc>
          <w:tcPr>
            <w:tcW w:type="dxa" w:w="1944"/>
            <w:vAlign w:val="center"/>
            <w:shd w:fill="FFFFFF"/>
          </w:tcPr>
          <w:p>
            <w:pPr>
              <w:spacing w:after="40"/>
            </w:pPr>
            <w:r/>
            <w:r>
              <w:rPr>
                <w:rFonts w:ascii="Aptos" w:hAnsi="Aptos"/>
                <w:b w:val="0"/>
                <w:color w:val="0B1736"/>
                <w:sz w:val="18"/>
              </w:rPr>
              <w:t>3 paid pilots; documented SLO and recovery test</w:t>
            </w:r>
          </w:p>
        </w:tc>
      </w:tr>
      <w:tr>
        <w:tc>
          <w:tcPr>
            <w:tcW w:type="dxa" w:w="1224"/>
            <w:vAlign w:val="center"/>
            <w:shd w:fill="F7F8FA"/>
          </w:tcPr>
          <w:p>
            <w:pPr>
              <w:spacing w:after="40"/>
            </w:pPr>
            <w:r/>
            <w:r>
              <w:rPr>
                <w:rFonts w:ascii="Aptos" w:hAnsi="Aptos"/>
                <w:b w:val="0"/>
                <w:color w:val="0B1736"/>
                <w:sz w:val="18"/>
              </w:rPr>
              <w:t>10–18 months</w:t>
            </w:r>
          </w:p>
        </w:tc>
        <w:tc>
          <w:tcPr>
            <w:tcW w:type="dxa" w:w="1944"/>
            <w:vAlign w:val="center"/>
            <w:shd w:fill="F7F8FA"/>
          </w:tcPr>
          <w:p>
            <w:pPr>
              <w:spacing w:after="40"/>
            </w:pPr>
            <w:r/>
            <w:r>
              <w:rPr>
                <w:rFonts w:ascii="Aptos" w:hAnsi="Aptos"/>
                <w:b w:val="0"/>
                <w:color w:val="0B1736"/>
                <w:sz w:val="18"/>
              </w:rPr>
              <w:t>Scale distribution</w:t>
            </w:r>
          </w:p>
        </w:tc>
        <w:tc>
          <w:tcPr>
            <w:tcW w:type="dxa" w:w="4608"/>
            <w:vAlign w:val="center"/>
            <w:shd w:fill="F7F8FA"/>
          </w:tcPr>
          <w:p>
            <w:pPr>
              <w:spacing w:after="40"/>
            </w:pPr>
            <w:r/>
            <w:r>
              <w:rPr>
                <w:rFonts w:ascii="Aptos" w:hAnsi="Aptos"/>
                <w:b w:val="0"/>
                <w:color w:val="0B1736"/>
                <w:sz w:val="18"/>
              </w:rPr>
              <w:t>Plugin certification, partner portal, SDK compatibility, cloud option, usage metering</w:t>
            </w:r>
          </w:p>
        </w:tc>
        <w:tc>
          <w:tcPr>
            <w:tcW w:type="dxa" w:w="1944"/>
            <w:vAlign w:val="center"/>
            <w:shd w:fill="F7F8FA"/>
          </w:tcPr>
          <w:p>
            <w:pPr>
              <w:spacing w:after="40"/>
            </w:pPr>
            <w:r/>
            <w:r>
              <w:rPr>
                <w:rFonts w:ascii="Aptos" w:hAnsi="Aptos"/>
                <w:b w:val="0"/>
                <w:color w:val="0B1736"/>
                <w:sz w:val="18"/>
              </w:rPr>
              <w:t>Expansion to second process; partner-sourced pipeline</w:t>
            </w:r>
          </w:p>
        </w:tc>
      </w:tr>
    </w:tbl>
    <w:p>
      <w:pPr>
        <w:spacing w:after="20"/>
      </w:pPr>
    </w:p>
    <w:p>
      <w:pPr>
        <w:pStyle w:val="Heading2"/>
      </w:pPr>
      <w:r>
        <w:t>North-star metrics</w:t>
      </w:r>
    </w:p>
    <w:p>
      <w:pPr>
        <w:pStyle w:val="ListBullet"/>
        <w:spacing w:after="80"/>
      </w:pPr>
      <w:r>
        <w:t>Time from install to first production workflow.</w:t>
      </w:r>
    </w:p>
    <w:p>
      <w:pPr>
        <w:pStyle w:val="ListBullet"/>
        <w:spacing w:after="80"/>
      </w:pPr>
      <w:r>
        <w:t>Successful workflow completion rate and recovery rate after induced failure.</w:t>
      </w:r>
    </w:p>
    <w:p>
      <w:pPr>
        <w:pStyle w:val="ListBullet"/>
        <w:spacing w:after="80"/>
      </w:pPr>
      <w:r>
        <w:t>Human wait time, overdue-task rate and exception resolution time.</w:t>
      </w:r>
    </w:p>
    <w:p>
      <w:pPr>
        <w:pStyle w:val="ListBullet"/>
        <w:spacing w:after="80"/>
      </w:pPr>
      <w:r>
        <w:t>Number of production workflows per customer and expansion to a second department/process.</w:t>
      </w:r>
    </w:p>
    <w:p>
      <w:pPr>
        <w:pStyle w:val="ListBullet"/>
        <w:spacing w:after="80"/>
      </w:pPr>
      <w:r>
        <w:t>Certified plugins used in production and partner-sourced annual recurring revenue.</w:t>
      </w:r>
    </w:p>
    <w:p>
      <w:pPr>
        <w:pStyle w:val="Heading1"/>
      </w:pPr>
      <w:r>
        <w:t>9. Risks and mitigation</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1800"/>
            <w:vAlign w:val="center"/>
            <w:shd w:fill="0B1736"/>
          </w:tcPr>
          <w:p>
            <w:pPr>
              <w:spacing w:after="40"/>
            </w:pPr>
            <w:r/>
            <w:r>
              <w:rPr>
                <w:rFonts w:ascii="Aptos" w:hAnsi="Aptos"/>
                <w:b/>
                <w:color w:val="FFFFFF"/>
                <w:sz w:val="18"/>
              </w:rPr>
              <w:t>Risk</w:t>
            </w:r>
          </w:p>
        </w:tc>
        <w:tc>
          <w:tcPr>
            <w:tcW w:type="dxa" w:w="3672"/>
            <w:vAlign w:val="center"/>
            <w:shd w:fill="0B1736"/>
          </w:tcPr>
          <w:p>
            <w:pPr>
              <w:spacing w:after="40"/>
            </w:pPr>
            <w:r/>
            <w:r>
              <w:rPr>
                <w:rFonts w:ascii="Aptos" w:hAnsi="Aptos"/>
                <w:b/>
                <w:color w:val="FFFFFF"/>
                <w:sz w:val="18"/>
              </w:rPr>
              <w:t>Why it matters</w:t>
            </w:r>
          </w:p>
        </w:tc>
        <w:tc>
          <w:tcPr>
            <w:tcW w:type="dxa" w:w="4464"/>
            <w:vAlign w:val="center"/>
            <w:shd w:fill="0B1736"/>
          </w:tcPr>
          <w:p>
            <w:pPr>
              <w:spacing w:after="40"/>
            </w:pPr>
            <w:r/>
            <w:r>
              <w:rPr>
                <w:rFonts w:ascii="Aptos" w:hAnsi="Aptos"/>
                <w:b/>
                <w:color w:val="FFFFFF"/>
                <w:sz w:val="18"/>
              </w:rPr>
              <w:t>Mitigation</w:t>
            </w:r>
          </w:p>
        </w:tc>
      </w:tr>
      <w:tr>
        <w:tc>
          <w:tcPr>
            <w:tcW w:type="dxa" w:w="1800"/>
            <w:vAlign w:val="center"/>
            <w:shd w:fill="F7F8FA"/>
          </w:tcPr>
          <w:p>
            <w:pPr>
              <w:spacing w:after="40"/>
            </w:pPr>
            <w:r/>
            <w:r>
              <w:rPr>
                <w:rFonts w:ascii="Aptos" w:hAnsi="Aptos"/>
                <w:b w:val="0"/>
                <w:color w:val="0B1736"/>
                <w:sz w:val="18"/>
              </w:rPr>
              <w:t>Crowded positioning</w:t>
            </w:r>
          </w:p>
        </w:tc>
        <w:tc>
          <w:tcPr>
            <w:tcW w:type="dxa" w:w="3672"/>
            <w:vAlign w:val="center"/>
            <w:shd w:fill="F7F8FA"/>
          </w:tcPr>
          <w:p>
            <w:pPr>
              <w:spacing w:after="40"/>
            </w:pPr>
            <w:r/>
            <w:r>
              <w:rPr>
                <w:rFonts w:ascii="Aptos" w:hAnsi="Aptos"/>
                <w:b w:val="0"/>
                <w:color w:val="0B1736"/>
                <w:sz w:val="18"/>
              </w:rPr>
              <w:t>Automation language collapses into larger incumbent categories</w:t>
            </w:r>
          </w:p>
        </w:tc>
        <w:tc>
          <w:tcPr>
            <w:tcW w:type="dxa" w:w="4464"/>
            <w:vAlign w:val="center"/>
            <w:shd w:fill="F7F8FA"/>
          </w:tcPr>
          <w:p>
            <w:pPr>
              <w:spacing w:after="40"/>
            </w:pPr>
            <w:r/>
            <w:r>
              <w:rPr>
                <w:rFonts w:ascii="Aptos" w:hAnsi="Aptos"/>
                <w:b w:val="0"/>
                <w:color w:val="0B1736"/>
                <w:sz w:val="18"/>
              </w:rPr>
              <w:t>Own governed orchestration for high-accountability workflows</w:t>
            </w:r>
          </w:p>
        </w:tc>
      </w:tr>
      <w:tr>
        <w:tc>
          <w:tcPr>
            <w:tcW w:type="dxa" w:w="1800"/>
            <w:vAlign w:val="center"/>
            <w:shd w:fill="FFFFFF"/>
          </w:tcPr>
          <w:p>
            <w:pPr>
              <w:spacing w:after="40"/>
            </w:pPr>
            <w:r/>
            <w:r>
              <w:rPr>
                <w:rFonts w:ascii="Aptos" w:hAnsi="Aptos"/>
                <w:b w:val="0"/>
                <w:color w:val="0B1736"/>
                <w:sz w:val="18"/>
              </w:rPr>
              <w:t>Enterprise readiness gap</w:t>
            </w:r>
          </w:p>
        </w:tc>
        <w:tc>
          <w:tcPr>
            <w:tcW w:type="dxa" w:w="3672"/>
            <w:vAlign w:val="center"/>
            <w:shd w:fill="FFFFFF"/>
          </w:tcPr>
          <w:p>
            <w:pPr>
              <w:spacing w:after="40"/>
            </w:pPr>
            <w:r/>
            <w:r>
              <w:rPr>
                <w:rFonts w:ascii="Aptos" w:hAnsi="Aptos"/>
                <w:b w:val="0"/>
                <w:color w:val="0B1736"/>
                <w:sz w:val="18"/>
              </w:rPr>
              <w:t>Feature breadth does not equal procurement readiness</w:t>
            </w:r>
          </w:p>
        </w:tc>
        <w:tc>
          <w:tcPr>
            <w:tcW w:type="dxa" w:w="4464"/>
            <w:vAlign w:val="center"/>
            <w:shd w:fill="FFFFFF"/>
          </w:tcPr>
          <w:p>
            <w:pPr>
              <w:spacing w:after="40"/>
            </w:pPr>
            <w:r/>
            <w:r>
              <w:rPr>
                <w:rFonts w:ascii="Aptos" w:hAnsi="Aptos"/>
                <w:b w:val="0"/>
                <w:color w:val="0B1736"/>
                <w:sz w:val="18"/>
              </w:rPr>
              <w:t>Security roadmap, benchmarks, SLOs, support and deployment proof</w:t>
            </w:r>
          </w:p>
        </w:tc>
      </w:tr>
      <w:tr>
        <w:tc>
          <w:tcPr>
            <w:tcW w:type="dxa" w:w="1800"/>
            <w:vAlign w:val="center"/>
            <w:shd w:fill="F7F8FA"/>
          </w:tcPr>
          <w:p>
            <w:pPr>
              <w:spacing w:after="40"/>
            </w:pPr>
            <w:r/>
            <w:r>
              <w:rPr>
                <w:rFonts w:ascii="Aptos" w:hAnsi="Aptos"/>
                <w:b w:val="0"/>
                <w:color w:val="0B1736"/>
                <w:sz w:val="18"/>
              </w:rPr>
              <w:t>Plugin security</w:t>
            </w:r>
          </w:p>
        </w:tc>
        <w:tc>
          <w:tcPr>
            <w:tcW w:type="dxa" w:w="3672"/>
            <w:vAlign w:val="center"/>
            <w:shd w:fill="F7F8FA"/>
          </w:tcPr>
          <w:p>
            <w:pPr>
              <w:spacing w:after="40"/>
            </w:pPr>
            <w:r/>
            <w:r>
              <w:rPr>
                <w:rFonts w:ascii="Aptos" w:hAnsi="Aptos"/>
                <w:b w:val="0"/>
                <w:color w:val="0B1736"/>
                <w:sz w:val="18"/>
              </w:rPr>
              <w:t>In-process third-party code can exceed classloader boundaries</w:t>
            </w:r>
          </w:p>
        </w:tc>
        <w:tc>
          <w:tcPr>
            <w:tcW w:type="dxa" w:w="4464"/>
            <w:vAlign w:val="center"/>
            <w:shd w:fill="F7F8FA"/>
          </w:tcPr>
          <w:p>
            <w:pPr>
              <w:spacing w:after="40"/>
            </w:pPr>
            <w:r/>
            <w:r>
              <w:rPr>
                <w:rFonts w:ascii="Aptos" w:hAnsi="Aptos"/>
                <w:b w:val="0"/>
                <w:color w:val="0B1736"/>
                <w:sz w:val="18"/>
              </w:rPr>
              <w:t>Certification, signing, policy and optional out-of-process runtime</w:t>
            </w:r>
          </w:p>
        </w:tc>
      </w:tr>
      <w:tr>
        <w:tc>
          <w:tcPr>
            <w:tcW w:type="dxa" w:w="1800"/>
            <w:vAlign w:val="center"/>
            <w:shd w:fill="FFFFFF"/>
          </w:tcPr>
          <w:p>
            <w:pPr>
              <w:spacing w:after="40"/>
            </w:pPr>
            <w:r/>
            <w:r>
              <w:rPr>
                <w:rFonts w:ascii="Aptos" w:hAnsi="Aptos"/>
                <w:b w:val="0"/>
                <w:color w:val="0B1736"/>
                <w:sz w:val="18"/>
              </w:rPr>
              <w:t>Connector cold start</w:t>
            </w:r>
          </w:p>
        </w:tc>
        <w:tc>
          <w:tcPr>
            <w:tcW w:type="dxa" w:w="3672"/>
            <w:vAlign w:val="center"/>
            <w:shd w:fill="FFFFFF"/>
          </w:tcPr>
          <w:p>
            <w:pPr>
              <w:spacing w:after="40"/>
            </w:pPr>
            <w:r/>
            <w:r>
              <w:rPr>
                <w:rFonts w:ascii="Aptos" w:hAnsi="Aptos"/>
                <w:b w:val="0"/>
                <w:color w:val="0B1736"/>
                <w:sz w:val="18"/>
              </w:rPr>
              <w:t>Customers expect their systems on day one</w:t>
            </w:r>
          </w:p>
        </w:tc>
        <w:tc>
          <w:tcPr>
            <w:tcW w:type="dxa" w:w="4464"/>
            <w:vAlign w:val="center"/>
            <w:shd w:fill="FFFFFF"/>
          </w:tcPr>
          <w:p>
            <w:pPr>
              <w:spacing w:after="40"/>
            </w:pPr>
            <w:r/>
            <w:r>
              <w:rPr>
                <w:rFonts w:ascii="Aptos" w:hAnsi="Aptos"/>
                <w:b w:val="0"/>
                <w:color w:val="0B1736"/>
                <w:sz w:val="18"/>
              </w:rPr>
              <w:t>Vertical packs, REST fallback and partner-led plugin supply</w:t>
            </w:r>
          </w:p>
        </w:tc>
      </w:tr>
      <w:tr>
        <w:tc>
          <w:tcPr>
            <w:tcW w:type="dxa" w:w="1800"/>
            <w:vAlign w:val="center"/>
            <w:shd w:fill="F7F8FA"/>
          </w:tcPr>
          <w:p>
            <w:pPr>
              <w:spacing w:after="40"/>
            </w:pPr>
            <w:r/>
            <w:r>
              <w:rPr>
                <w:rFonts w:ascii="Aptos" w:hAnsi="Aptos"/>
                <w:b w:val="0"/>
                <w:color w:val="0B1736"/>
                <w:sz w:val="18"/>
              </w:rPr>
              <w:t>Breadth before PMF</w:t>
            </w:r>
          </w:p>
        </w:tc>
        <w:tc>
          <w:tcPr>
            <w:tcW w:type="dxa" w:w="3672"/>
            <w:vAlign w:val="center"/>
            <w:shd w:fill="F7F8FA"/>
          </w:tcPr>
          <w:p>
            <w:pPr>
              <w:spacing w:after="40"/>
            </w:pPr>
            <w:r/>
            <w:r>
              <w:rPr>
                <w:rFonts w:ascii="Aptos" w:hAnsi="Aptos"/>
                <w:b w:val="0"/>
                <w:color w:val="0B1736"/>
                <w:sz w:val="18"/>
              </w:rPr>
              <w:t>Large codebase can absorb effort without customer learning</w:t>
            </w:r>
          </w:p>
        </w:tc>
        <w:tc>
          <w:tcPr>
            <w:tcW w:type="dxa" w:w="4464"/>
            <w:vAlign w:val="center"/>
            <w:shd w:fill="F7F8FA"/>
          </w:tcPr>
          <w:p>
            <w:pPr>
              <w:spacing w:after="40"/>
            </w:pPr>
            <w:r/>
            <w:r>
              <w:rPr>
                <w:rFonts w:ascii="Aptos" w:hAnsi="Aptos"/>
                <w:b w:val="0"/>
                <w:color w:val="0B1736"/>
                <w:sz w:val="18"/>
              </w:rPr>
              <w:t>Freeze non-wedge features until design-partner evidence</w:t>
            </w:r>
          </w:p>
        </w:tc>
      </w:tr>
    </w:tbl>
    <w:p>
      <w:pPr>
        <w:spacing w:after="20"/>
      </w:pPr>
    </w:p>
    <w:p>
      <w:pPr>
        <w:pStyle w:val="Heading1"/>
      </w:pPr>
      <w:r>
        <w:t>10. Investor pitch guidance</w:t>
      </w:r>
    </w:p>
    <w:p>
      <w:pPr>
        <w:pStyle w:val="Heading2"/>
      </w:pPr>
      <w:r>
        <w:t>Thirty-second version</w:t>
      </w:r>
    </w:p>
    <w:tbl>
      <w:tblPr>
        <w:tblW w:type="auto" w:w="0"/>
        <w:jc w:val="center"/>
        <w:tblLayout w:type="fixed"/>
        <w:tblLook w:firstColumn="1" w:firstRow="1" w:lastColumn="0" w:lastRow="0" w:noHBand="0" w:noVBand="1" w:val="04A0"/>
      </w:tblPr>
      <w:tblGrid>
        <w:gridCol w:w="9720"/>
      </w:tblGrid>
      <w:tr>
        <w:tc>
          <w:tcPr>
            <w:tcW w:type="dxa" w:w="9878"/>
            <w:shd w:fill="EDF4FF"/>
            <w:vAlign w:val="center"/>
          </w:tcPr>
          <w:p>
            <w:pPr>
              <w:spacing w:after="40"/>
            </w:pPr>
            <w:r/>
            <w:r>
              <w:rPr>
                <w:rFonts w:ascii="Aptos" w:hAnsi="Aptos"/>
                <w:b/>
                <w:color w:val="0B1736"/>
                <w:sz w:val="21"/>
              </w:rPr>
              <w:t>OrchPilot is the governed orchestration layer for critical workflows that span people, systems and AI. Unlike task automation tools, it owns long-running state, human accountability and recovery. Unlike code-only engines, it gives operators a visual, extensible control plane. The product foundation is built; the seed round converts it into repeatable enterprise adoption.</w:t>
            </w:r>
          </w:p>
        </w:tc>
      </w:tr>
    </w:tbl>
    <w:p>
      <w:pPr>
        <w:spacing w:after="20"/>
      </w:pPr>
    </w:p>
    <w:p>
      <w:pPr>
        <w:pStyle w:val="Heading2"/>
      </w:pPr>
      <w:r>
        <w:t>Questions to answer before pitching externally</w:t>
      </w:r>
    </w:p>
    <w:p>
      <w:pPr>
        <w:pStyle w:val="ListBullet"/>
        <w:spacing w:after="80"/>
      </w:pPr>
      <w:r>
        <w:t>Who are the founders, and what unique access or insight makes this team credible in platform engineering or regulated operations?</w:t>
      </w:r>
    </w:p>
    <w:p>
      <w:pPr>
        <w:pStyle w:val="ListBullet"/>
        <w:spacing w:after="80"/>
      </w:pPr>
      <w:r>
        <w:t>What is the raise amount, target runway, hiring plan and milestone-based allocation?</w:t>
      </w:r>
    </w:p>
    <w:p>
      <w:pPr>
        <w:pStyle w:val="ListBullet"/>
        <w:spacing w:after="80"/>
      </w:pPr>
      <w:r>
        <w:t>Which design partners or conversations exist today, and what process pain has been quantified?</w:t>
      </w:r>
    </w:p>
    <w:p>
      <w:pPr>
        <w:pStyle w:val="ListBullet"/>
        <w:spacing w:after="80"/>
      </w:pPr>
      <w:r>
        <w:t>What is the deployment model and license? Open core, commercial source, hosted SaaS or dual model?</w:t>
      </w:r>
    </w:p>
    <w:p>
      <w:pPr>
        <w:pStyle w:val="ListBullet"/>
        <w:spacing w:after="80"/>
      </w:pPr>
      <w:r>
        <w:t>What is the first vertical plugin pack, and why can OrchPilot win distribution there?</w:t>
      </w:r>
    </w:p>
    <w:p>
      <w:pPr>
        <w:pStyle w:val="ListBullet"/>
        <w:spacing w:after="80"/>
      </w:pPr>
      <w:r>
        <w:t>What scale has been tested: concurrent executions, workflow duration, recovery time and plugin isolation under failure?</w:t>
      </w:r>
    </w:p>
    <w:p>
      <w:pPr>
        <w:pStyle w:val="Heading1"/>
      </w:pPr>
      <w:r>
        <w:t>Appendix A. Product capability map</w:t>
      </w:r>
    </w:p>
    <w:tbl>
      <w:tblPr>
        <w:tblW w:type="auto" w:w="0"/>
        <w:jc w:val="center"/>
        <w:tblLayout w:type="fixed"/>
        <w:tblLook w:firstColumn="1" w:firstRow="1" w:lastColumn="0" w:lastRow="0" w:noHBand="0" w:noVBand="1" w:val="04A0"/>
        <w:tblBorders>
          <w:top w:val="single" w:sz="4" w:color="D7DCE5"/>
          <w:left w:val="single" w:sz="4" w:color="D7DCE5"/>
          <w:bottom w:val="single" w:sz="4" w:color="D7DCE5"/>
          <w:right w:val="single" w:sz="4" w:color="D7DCE5"/>
          <w:insideH w:val="single" w:sz="4" w:color="D7DCE5"/>
          <w:insideV w:val="single" w:sz="4" w:color="D7DCE5"/>
        </w:tblBorders>
      </w:tblPr>
      <w:tblGrid>
        <w:gridCol w:w="3293"/>
        <w:gridCol w:w="3293"/>
        <w:gridCol w:w="3293"/>
      </w:tblGrid>
      <w:tr>
        <w:tc>
          <w:tcPr>
            <w:tcW w:type="dxa" w:w="1800"/>
            <w:vAlign w:val="center"/>
            <w:shd w:fill="0B1736"/>
          </w:tcPr>
          <w:p>
            <w:pPr>
              <w:spacing w:after="40"/>
            </w:pPr>
            <w:r/>
            <w:r>
              <w:rPr>
                <w:rFonts w:ascii="Aptos" w:hAnsi="Aptos"/>
                <w:b/>
                <w:color w:val="FFFFFF"/>
                <w:sz w:val="18"/>
              </w:rPr>
              <w:t>Domain</w:t>
            </w:r>
          </w:p>
        </w:tc>
        <w:tc>
          <w:tcPr>
            <w:tcW w:type="dxa" w:w="5760"/>
            <w:vAlign w:val="center"/>
            <w:shd w:fill="0B1736"/>
          </w:tcPr>
          <w:p>
            <w:pPr>
              <w:spacing w:after="40"/>
            </w:pPr>
            <w:r/>
            <w:r>
              <w:rPr>
                <w:rFonts w:ascii="Aptos" w:hAnsi="Aptos"/>
                <w:b/>
                <w:color w:val="FFFFFF"/>
                <w:sz w:val="18"/>
              </w:rPr>
              <w:t>Implemented evidence</w:t>
            </w:r>
          </w:p>
        </w:tc>
        <w:tc>
          <w:tcPr>
            <w:tcW w:type="dxa" w:w="2376"/>
            <w:vAlign w:val="center"/>
            <w:shd w:fill="0B1736"/>
          </w:tcPr>
          <w:p>
            <w:pPr>
              <w:spacing w:after="40"/>
            </w:pPr>
            <w:r/>
            <w:r>
              <w:rPr>
                <w:rFonts w:ascii="Aptos" w:hAnsi="Aptos"/>
                <w:b/>
                <w:color w:val="FFFFFF"/>
                <w:sz w:val="18"/>
              </w:rPr>
              <w:t>Pitch status</w:t>
            </w:r>
          </w:p>
        </w:tc>
      </w:tr>
      <w:tr>
        <w:tc>
          <w:tcPr>
            <w:tcW w:type="dxa" w:w="1800"/>
            <w:vAlign w:val="center"/>
            <w:shd w:fill="F7F8FA"/>
          </w:tcPr>
          <w:p>
            <w:pPr>
              <w:spacing w:after="40"/>
            </w:pPr>
            <w:r/>
            <w:r>
              <w:rPr>
                <w:rFonts w:ascii="Aptos" w:hAnsi="Aptos"/>
                <w:b w:val="0"/>
                <w:color w:val="0B1736"/>
                <w:sz w:val="18"/>
              </w:rPr>
              <w:t>Workflow lifecycle</w:t>
            </w:r>
          </w:p>
        </w:tc>
        <w:tc>
          <w:tcPr>
            <w:tcW w:type="dxa" w:w="5760"/>
            <w:vAlign w:val="center"/>
            <w:shd w:fill="F7F8FA"/>
          </w:tcPr>
          <w:p>
            <w:pPr>
              <w:spacing w:after="40"/>
            </w:pPr>
            <w:r/>
            <w:r>
              <w:rPr>
                <w:rFonts w:ascii="Aptos" w:hAnsi="Aptos"/>
                <w:b w:val="0"/>
                <w:color w:val="0B1736"/>
                <w:sz w:val="18"/>
              </w:rPr>
              <w:t>Draft, validate, publish, immutable versions, archive, import/export</w:t>
            </w:r>
          </w:p>
        </w:tc>
        <w:tc>
          <w:tcPr>
            <w:tcW w:type="dxa" w:w="2376"/>
            <w:vAlign w:val="center"/>
            <w:shd w:fill="F7F8FA"/>
          </w:tcPr>
          <w:p>
            <w:pPr>
              <w:spacing w:after="40"/>
            </w:pPr>
            <w:r/>
            <w:r>
              <w:rPr>
                <w:rFonts w:ascii="Aptos" w:hAnsi="Aptos"/>
                <w:b w:val="0"/>
                <w:color w:val="0B1736"/>
                <w:sz w:val="18"/>
              </w:rPr>
              <w:t>Built</w:t>
            </w:r>
          </w:p>
        </w:tc>
      </w:tr>
      <w:tr>
        <w:tc>
          <w:tcPr>
            <w:tcW w:type="dxa" w:w="1800"/>
            <w:vAlign w:val="center"/>
            <w:shd w:fill="FFFFFF"/>
          </w:tcPr>
          <w:p>
            <w:pPr>
              <w:spacing w:after="40"/>
            </w:pPr>
            <w:r/>
            <w:r>
              <w:rPr>
                <w:rFonts w:ascii="Aptos" w:hAnsi="Aptos"/>
                <w:b w:val="0"/>
                <w:color w:val="0B1736"/>
                <w:sz w:val="18"/>
              </w:rPr>
              <w:t>Execution</w:t>
            </w:r>
          </w:p>
        </w:tc>
        <w:tc>
          <w:tcPr>
            <w:tcW w:type="dxa" w:w="5760"/>
            <w:vAlign w:val="center"/>
            <w:shd w:fill="FFFFFF"/>
          </w:tcPr>
          <w:p>
            <w:pPr>
              <w:spacing w:after="40"/>
            </w:pPr>
            <w:r/>
            <w:r>
              <w:rPr>
                <w:rFonts w:ascii="Aptos" w:hAnsi="Aptos"/>
                <w:b w:val="0"/>
                <w:color w:val="0B1736"/>
                <w:sz w:val="18"/>
              </w:rPr>
              <w:t>Sync/async/manual/event/schedule, retry, compensation, pause/resume/cancel</w:t>
            </w:r>
          </w:p>
        </w:tc>
        <w:tc>
          <w:tcPr>
            <w:tcW w:type="dxa" w:w="2376"/>
            <w:vAlign w:val="center"/>
            <w:shd w:fill="FFFFFF"/>
          </w:tcPr>
          <w:p>
            <w:pPr>
              <w:spacing w:after="40"/>
            </w:pPr>
            <w:r/>
            <w:r>
              <w:rPr>
                <w:rFonts w:ascii="Aptos" w:hAnsi="Aptos"/>
                <w:b w:val="0"/>
                <w:color w:val="0B1736"/>
                <w:sz w:val="18"/>
              </w:rPr>
              <w:t>Built</w:t>
            </w:r>
          </w:p>
        </w:tc>
      </w:tr>
      <w:tr>
        <w:tc>
          <w:tcPr>
            <w:tcW w:type="dxa" w:w="1800"/>
            <w:vAlign w:val="center"/>
            <w:shd w:fill="F7F8FA"/>
          </w:tcPr>
          <w:p>
            <w:pPr>
              <w:spacing w:after="40"/>
            </w:pPr>
            <w:r/>
            <w:r>
              <w:rPr>
                <w:rFonts w:ascii="Aptos" w:hAnsi="Aptos"/>
                <w:b w:val="0"/>
                <w:color w:val="0B1736"/>
                <w:sz w:val="18"/>
              </w:rPr>
              <w:t>Human work</w:t>
            </w:r>
          </w:p>
        </w:tc>
        <w:tc>
          <w:tcPr>
            <w:tcW w:type="dxa" w:w="5760"/>
            <w:vAlign w:val="center"/>
            <w:shd w:fill="F7F8FA"/>
          </w:tcPr>
          <w:p>
            <w:pPr>
              <w:spacing w:after="40"/>
            </w:pPr>
            <w:r/>
            <w:r>
              <w:rPr>
                <w:rFonts w:ascii="Aptos" w:hAnsi="Aptos"/>
                <w:b w:val="0"/>
                <w:color w:val="0B1736"/>
                <w:sz w:val="18"/>
              </w:rPr>
              <w:t>Forms, tasks, assignment, claim, draft, completion, history, expiry</w:t>
            </w:r>
          </w:p>
        </w:tc>
        <w:tc>
          <w:tcPr>
            <w:tcW w:type="dxa" w:w="2376"/>
            <w:vAlign w:val="center"/>
            <w:shd w:fill="F7F8FA"/>
          </w:tcPr>
          <w:p>
            <w:pPr>
              <w:spacing w:after="40"/>
            </w:pPr>
            <w:r/>
            <w:r>
              <w:rPr>
                <w:rFonts w:ascii="Aptos" w:hAnsi="Aptos"/>
                <w:b w:val="0"/>
                <w:color w:val="0B1736"/>
                <w:sz w:val="18"/>
              </w:rPr>
              <w:t>Built</w:t>
            </w:r>
          </w:p>
        </w:tc>
      </w:tr>
      <w:tr>
        <w:tc>
          <w:tcPr>
            <w:tcW w:type="dxa" w:w="1800"/>
            <w:vAlign w:val="center"/>
            <w:shd w:fill="FFFFFF"/>
          </w:tcPr>
          <w:p>
            <w:pPr>
              <w:spacing w:after="40"/>
            </w:pPr>
            <w:r/>
            <w:r>
              <w:rPr>
                <w:rFonts w:ascii="Aptos" w:hAnsi="Aptos"/>
                <w:b w:val="0"/>
                <w:color w:val="0B1736"/>
                <w:sz w:val="18"/>
              </w:rPr>
              <w:t>Plugins</w:t>
            </w:r>
          </w:p>
        </w:tc>
        <w:tc>
          <w:tcPr>
            <w:tcW w:type="dxa" w:w="5760"/>
            <w:vAlign w:val="center"/>
            <w:shd w:fill="FFFFFF"/>
          </w:tcPr>
          <w:p>
            <w:pPr>
              <w:spacing w:after="40"/>
            </w:pPr>
            <w:r/>
            <w:r>
              <w:rPr>
                <w:rFonts w:ascii="Aptos" w:hAnsi="Aptos"/>
                <w:b w:val="0"/>
                <w:color w:val="0B1736"/>
                <w:sz w:val="18"/>
              </w:rPr>
              <w:t>SDK, registry client/server, upload, validation, activation, isolation, history</w:t>
            </w:r>
          </w:p>
        </w:tc>
        <w:tc>
          <w:tcPr>
            <w:tcW w:type="dxa" w:w="2376"/>
            <w:vAlign w:val="center"/>
            <w:shd w:fill="FFFFFF"/>
          </w:tcPr>
          <w:p>
            <w:pPr>
              <w:spacing w:after="40"/>
            </w:pPr>
            <w:r/>
            <w:r>
              <w:rPr>
                <w:rFonts w:ascii="Aptos" w:hAnsi="Aptos"/>
                <w:b w:val="0"/>
                <w:color w:val="0B1736"/>
                <w:sz w:val="18"/>
              </w:rPr>
              <w:t>Built; marketplace is roadmap</w:t>
            </w:r>
          </w:p>
        </w:tc>
      </w:tr>
      <w:tr>
        <w:tc>
          <w:tcPr>
            <w:tcW w:type="dxa" w:w="1800"/>
            <w:vAlign w:val="center"/>
            <w:shd w:fill="F7F8FA"/>
          </w:tcPr>
          <w:p>
            <w:pPr>
              <w:spacing w:after="40"/>
            </w:pPr>
            <w:r/>
            <w:r>
              <w:rPr>
                <w:rFonts w:ascii="Aptos" w:hAnsi="Aptos"/>
                <w:b w:val="0"/>
                <w:color w:val="0B1736"/>
                <w:sz w:val="18"/>
              </w:rPr>
              <w:t>Security</w:t>
            </w:r>
          </w:p>
        </w:tc>
        <w:tc>
          <w:tcPr>
            <w:tcW w:type="dxa" w:w="5760"/>
            <w:vAlign w:val="center"/>
            <w:shd w:fill="F7F8FA"/>
          </w:tcPr>
          <w:p>
            <w:pPr>
              <w:spacing w:after="40"/>
            </w:pPr>
            <w:r/>
            <w:r>
              <w:rPr>
                <w:rFonts w:ascii="Aptos" w:hAnsi="Aptos"/>
                <w:b w:val="0"/>
                <w:color w:val="0B1736"/>
                <w:sz w:val="18"/>
              </w:rPr>
              <w:t>RBAC, JWT, Argon2id, audit, encrypted secrets, CSP/security headers</w:t>
            </w:r>
          </w:p>
        </w:tc>
        <w:tc>
          <w:tcPr>
            <w:tcW w:type="dxa" w:w="2376"/>
            <w:vAlign w:val="center"/>
            <w:shd w:fill="F7F8FA"/>
          </w:tcPr>
          <w:p>
            <w:pPr>
              <w:spacing w:after="40"/>
            </w:pPr>
            <w:r/>
            <w:r>
              <w:rPr>
                <w:rFonts w:ascii="Aptos" w:hAnsi="Aptos"/>
                <w:b w:val="0"/>
                <w:color w:val="0B1736"/>
                <w:sz w:val="18"/>
              </w:rPr>
              <w:t>Built; enterprise identity is roadmap</w:t>
            </w:r>
          </w:p>
        </w:tc>
      </w:tr>
      <w:tr>
        <w:tc>
          <w:tcPr>
            <w:tcW w:type="dxa" w:w="1800"/>
            <w:vAlign w:val="center"/>
            <w:shd w:fill="FFFFFF"/>
          </w:tcPr>
          <w:p>
            <w:pPr>
              <w:spacing w:after="40"/>
            </w:pPr>
            <w:r/>
            <w:r>
              <w:rPr>
                <w:rFonts w:ascii="Aptos" w:hAnsi="Aptos"/>
                <w:b w:val="0"/>
                <w:color w:val="0B1736"/>
                <w:sz w:val="18"/>
              </w:rPr>
              <w:t>AI</w:t>
            </w:r>
          </w:p>
        </w:tc>
        <w:tc>
          <w:tcPr>
            <w:tcW w:type="dxa" w:w="5760"/>
            <w:vAlign w:val="center"/>
            <w:shd w:fill="FFFFFF"/>
          </w:tcPr>
          <w:p>
            <w:pPr>
              <w:spacing w:after="40"/>
            </w:pPr>
            <w:r/>
            <w:r>
              <w:rPr>
                <w:rFonts w:ascii="Aptos" w:hAnsi="Aptos"/>
                <w:b w:val="0"/>
                <w:color w:val="0B1736"/>
                <w:sz w:val="18"/>
              </w:rPr>
              <w:t>Agent node, provider configuration, usage and CLI controls</w:t>
            </w:r>
          </w:p>
        </w:tc>
        <w:tc>
          <w:tcPr>
            <w:tcW w:type="dxa" w:w="2376"/>
            <w:vAlign w:val="center"/>
            <w:shd w:fill="FFFFFF"/>
          </w:tcPr>
          <w:p>
            <w:pPr>
              <w:spacing w:after="40"/>
            </w:pPr>
            <w:r/>
            <w:r>
              <w:rPr>
                <w:rFonts w:ascii="Aptos" w:hAnsi="Aptos"/>
                <w:b w:val="0"/>
                <w:color w:val="0B1736"/>
                <w:sz w:val="18"/>
              </w:rPr>
              <w:t>Built foundation; production proof needed</w:t>
            </w:r>
          </w:p>
        </w:tc>
      </w:tr>
      <w:tr>
        <w:tc>
          <w:tcPr>
            <w:tcW w:type="dxa" w:w="1800"/>
            <w:vAlign w:val="center"/>
            <w:shd w:fill="F7F8FA"/>
          </w:tcPr>
          <w:p>
            <w:pPr>
              <w:spacing w:after="40"/>
            </w:pPr>
            <w:r/>
            <w:r>
              <w:rPr>
                <w:rFonts w:ascii="Aptos" w:hAnsi="Aptos"/>
                <w:b w:val="0"/>
                <w:color w:val="0B1736"/>
                <w:sz w:val="18"/>
              </w:rPr>
              <w:t>Operations</w:t>
            </w:r>
          </w:p>
        </w:tc>
        <w:tc>
          <w:tcPr>
            <w:tcW w:type="dxa" w:w="5760"/>
            <w:vAlign w:val="center"/>
            <w:shd w:fill="F7F8FA"/>
          </w:tcPr>
          <w:p>
            <w:pPr>
              <w:spacing w:after="40"/>
            </w:pPr>
            <w:r/>
            <w:r>
              <w:rPr>
                <w:rFonts w:ascii="Aptos" w:hAnsi="Aptos"/>
                <w:b w:val="0"/>
                <w:color w:val="0B1736"/>
                <w:sz w:val="18"/>
              </w:rPr>
              <w:t>Health, metrics, logs, schedulers, recovery, cluster claims</w:t>
            </w:r>
          </w:p>
        </w:tc>
        <w:tc>
          <w:tcPr>
            <w:tcW w:type="dxa" w:w="2376"/>
            <w:vAlign w:val="center"/>
            <w:shd w:fill="F7F8FA"/>
          </w:tcPr>
          <w:p>
            <w:pPr>
              <w:spacing w:after="40"/>
            </w:pPr>
            <w:r/>
            <w:r>
              <w:rPr>
                <w:rFonts w:ascii="Aptos" w:hAnsi="Aptos"/>
                <w:b w:val="0"/>
                <w:color w:val="0B1736"/>
                <w:sz w:val="18"/>
              </w:rPr>
              <w:t>Built foundation; benchmarks needed</w:t>
            </w:r>
          </w:p>
        </w:tc>
      </w:tr>
    </w:tbl>
    <w:p>
      <w:pPr>
        <w:spacing w:after="20"/>
      </w:pPr>
    </w:p>
    <w:p>
      <w:pPr>
        <w:pStyle w:val="Heading1"/>
      </w:pPr>
      <w:r>
        <w:t>Appendix B. Sources</w:t>
      </w:r>
    </w:p>
    <w:p>
      <w:pPr>
        <w:spacing w:after="40" w:line="240" w:lineRule="auto"/>
        <w:ind w:left="259" w:hanging="173"/>
      </w:pPr>
      <w:r>
        <w:rPr>
          <w:rFonts w:ascii="Aptos" w:hAnsi="Aptos"/>
          <w:color w:val="0B1736"/>
          <w:sz w:val="16"/>
        </w:rPr>
        <w:t>•  Workflow-OrchPilot/workflow-engine local repository: README.md, ARCHITECTURE.md, SECURITY.md, AI_AGENT_NODE.md, AI_CLI_CONFIGURATION.md, WORKFLOW_INSTANCE_LIFECYCLE.md, WORKFLOW_PORTABILITY.md and PLUGIN_OPERATION_FRAMEWORK.md (reviewed 26 August 2026).</w:t>
      </w:r>
    </w:p>
    <w:p>
      <w:pPr>
        <w:spacing w:after="40" w:line="240" w:lineRule="auto"/>
        <w:ind w:left="259" w:hanging="173"/>
      </w:pPr>
      <w:r>
        <w:rPr>
          <w:rFonts w:ascii="Aptos" w:hAnsi="Aptos"/>
          <w:color w:val="0B1736"/>
          <w:sz w:val="16"/>
        </w:rPr>
        <w:t>•  Gartner, Forecast Analysis: Business Orchestration and Automation Technologies, Worldwide (28 May 2025): https://www.gartner.com/en/documents/6530402</w:t>
      </w:r>
    </w:p>
    <w:p>
      <w:pPr>
        <w:spacing w:after="40" w:line="240" w:lineRule="auto"/>
        <w:ind w:left="259" w:hanging="173"/>
      </w:pPr>
      <w:r>
        <w:rPr>
          <w:rFonts w:ascii="Aptos" w:hAnsi="Aptos"/>
          <w:color w:val="0B1736"/>
          <w:sz w:val="16"/>
        </w:rPr>
        <w:t>•  Gartner, Market Opportunity Map: Hyperautomation via Process-Agnostic Software, Worldwide (11 February 2025): https://www.gartner.com/en/documents/6165623</w:t>
      </w:r>
    </w:p>
    <w:p>
      <w:pPr>
        <w:spacing w:after="40" w:line="240" w:lineRule="auto"/>
        <w:ind w:left="259" w:hanging="173"/>
      </w:pPr>
      <w:r>
        <w:rPr>
          <w:rFonts w:ascii="Aptos" w:hAnsi="Aptos"/>
          <w:color w:val="0B1736"/>
          <w:sz w:val="16"/>
        </w:rPr>
        <w:t>•  Gartner newsroom, enterprise network automation forecast (18 September 2024): https://www.gartner.com/en/newsroom/press-releases/2024-09-18-gartner-says-30-percent-of-enterprises-will-automate-more-than-half-of-their-network-activities-by-2026</w:t>
      </w:r>
    </w:p>
    <w:p>
      <w:pPr>
        <w:spacing w:after="40" w:line="240" w:lineRule="auto"/>
        <w:ind w:left="259" w:hanging="173"/>
      </w:pPr>
      <w:r>
        <w:rPr>
          <w:rFonts w:ascii="Aptos" w:hAnsi="Aptos"/>
          <w:color w:val="0B1736"/>
          <w:sz w:val="16"/>
        </w:rPr>
        <w:t>•  Camunda platform and use cases: https://camunda.com/platform/ and https://camunda.com/platform/use-cases/</w:t>
      </w:r>
    </w:p>
    <w:p>
      <w:pPr>
        <w:spacing w:after="40" w:line="240" w:lineRule="auto"/>
        <w:ind w:left="259" w:hanging="173"/>
      </w:pPr>
      <w:r>
        <w:rPr>
          <w:rFonts w:ascii="Aptos" w:hAnsi="Aptos"/>
          <w:color w:val="0B1736"/>
          <w:sz w:val="16"/>
        </w:rPr>
        <w:t>•  Temporal platform and platform-engineering solution: https://temporal.io/ and https://temporal.io/solutions/platform-engineering</w:t>
      </w:r>
    </w:p>
    <w:p>
      <w:pPr>
        <w:spacing w:after="40" w:line="240" w:lineRule="auto"/>
        <w:ind w:left="259" w:hanging="173"/>
      </w:pPr>
      <w:r>
        <w:rPr>
          <w:rFonts w:ascii="Aptos" w:hAnsi="Aptos"/>
          <w:color w:val="0B1736"/>
          <w:sz w:val="16"/>
        </w:rPr>
        <w:t>•  n8n pricing and Business plan: https://n8n.io/pricing/ and https://support.n8n.io/article/what-is-the-n-8-n-business-plan-that-launched-in-august-2025</w:t>
      </w:r>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174"/>
        <w:sz w:val="16"/>
      </w:rPr>
      <w:t>CONFIDENTIAL DRAFT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174"/>
        <w:sz w:val="16"/>
      </w:rPr>
      <w:t>ORCHPILOT  /  INVESTOR STRATEGY &amp; PRODUCT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0B17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76EF1"/>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B173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5861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59" w:right="259"/>
    </w:pPr>
    <w:rPr>
      <w:rFonts w:ascii="Aptos" w:hAnsi="Aptos"/>
      <w:b/>
      <w:color w:val="0B17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OrchPilot Investor Strategy and Product Brief</dc:title>
  <dc:subject>Investor pitch, codebase assessment, market analysis and product roadmap</dc:subject>
  <dc:creator>OrchPilot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