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Use-Case Flow Specification</w:t>
      </w:r>
    </w:p>
    <w:p>
      <w:pPr>
        <w:jc w:val="center"/>
      </w:pPr>
      <w:r>
        <w:rPr>
          <w:i/>
          <w:sz w:val="18"/>
        </w:rPr>
        <w:t>Core Use Case: Release Final High-Resolution Asset</w:t>
      </w:r>
    </w:p>
    <w:p>
      <w:r>
        <w:rPr>
          <w:b/>
        </w:rPr>
        <w:t xml:space="preserve">Actors: </w:t>
      </w:r>
      <w:r>
        <w:t>Client Buyer, Digital Artist</w:t>
      </w:r>
    </w:p>
    <w:p>
      <w:r>
        <w:rPr>
          <w:b/>
        </w:rPr>
        <w:t>Preconditions:</w:t>
      </w:r>
      <w:r>
        <w:t xml:space="preserve"> The commission exists; the artist has uploaded the final high-resolution asset; the client is authenticated; the required milestone payment has not yet been released to the client.</w:t>
      </w:r>
    </w:p>
    <w:p>
      <w:r>
        <w:rPr>
          <w:b/>
        </w:rPr>
        <w:t>Postconditions:</w:t>
      </w:r>
      <w:r>
        <w:t xml:space="preserve"> Payment is verified; the final asset is available to the authorized client through a signed URL valid for 60 minutes; unauthorized/public access remains blocked.</w:t>
      </w:r>
    </w:p>
    <w:p>
      <w:r>
        <w:rPr>
          <w:b/>
        </w:rPr>
        <w:t>Main Success Scenario</w:t>
      </w:r>
    </w:p>
    <w:p>
      <w:pPr>
        <w:pStyle w:val="ListNumber"/>
      </w:pPr>
      <w:r>
        <w:t>1. Client Buyer opens the completed commission and requests the final asset.</w:t>
      </w:r>
    </w:p>
    <w:p>
      <w:pPr>
        <w:pStyle w:val="ListNumber"/>
      </w:pPr>
      <w:r>
        <w:t>2. Order Manager checks the commission status and requests payment verification from Payment Service.</w:t>
      </w:r>
    </w:p>
    <w:p>
      <w:pPr>
        <w:pStyle w:val="ListNumber"/>
      </w:pPr>
      <w:r>
        <w:t>3. Payment Service confirms that the required milestone payment succeeded.</w:t>
      </w:r>
    </w:p>
    <w:p>
      <w:pPr>
        <w:pStyle w:val="ListNumber"/>
      </w:pPr>
      <w:r>
        <w:t>4. Order Manager requests final-asset release from Asset Storage &amp; Secure Delivery.</w:t>
      </w:r>
    </w:p>
    <w:p>
      <w:pPr>
        <w:pStyle w:val="ListNumber"/>
      </w:pPr>
      <w:r>
        <w:t>5. Asset service verifies authorization and generates a signed S3 URL with a 60-minute expiry.</w:t>
      </w:r>
    </w:p>
    <w:p>
      <w:pPr>
        <w:pStyle w:val="ListNumber"/>
      </w:pPr>
      <w:r>
        <w:t>6. Portal presents the secure download action to the Client Buyer.</w:t>
      </w:r>
    </w:p>
    <w:p>
      <w:pPr>
        <w:pStyle w:val="ListNumber"/>
      </w:pPr>
      <w:r>
        <w:t>7. Client downloads the high-resolution source file before the signed URL expires.</w:t>
      </w:r>
    </w:p>
    <w:p>
      <w:r>
        <w:rPr>
          <w:b/>
        </w:rPr>
        <w:t>Alternate Flow:</w:t>
      </w:r>
      <w:r>
        <w:t xml:space="preserve"> If payment verification fails or the payment is still pending, the Order Manager does not release the final asset. The portal displays the pending/failed payment state and the client must complete or retry the milestone payment before requesting release again.</w:t>
      </w:r>
    </w:p>
    <w:p>
      <w:r>
        <w:rPr>
          <w:b/>
        </w:rPr>
        <w:t xml:space="preserve">Traceability: </w:t>
      </w:r>
      <w:r>
        <w:t>FR-003, FR-004, FR-005 and NFR-001/NFR-002.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