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Architecture Selection &amp; Justification</w:t>
      </w:r>
    </w:p>
    <w:p>
      <w:pPr>
        <w:jc w:val="center"/>
      </w:pPr>
      <w:r>
        <w:rPr>
          <w:i/>
          <w:sz w:val="18"/>
        </w:rPr>
        <w:t>Digital Art Commission &amp; Watermarking Portal — Problem Statement #58</w:t>
      </w:r>
    </w:p>
    <w:p>
      <w:r>
        <w:rPr>
          <w:b/>
        </w:rPr>
        <w:t xml:space="preserve">Architecture Selection: </w:t>
      </w:r>
      <w:r>
        <w:t>We chose Microservices Architecture for the Digital Art Commission &amp; Watermarking Portal.</w:t>
      </w:r>
    </w:p>
    <w:p>
      <w:r>
        <w:rPr>
          <w:b/>
        </w:rPr>
        <w:t xml:space="preserve">Architectural Choice — Reason 1: </w:t>
      </w:r>
      <w:r>
        <w:t>The workflow contains separable responsibilities: order/commission management, payment processing, watermarking, and secure asset delivery. Independent services allow each responsibility to be deployed and changed without requiring the entire portal to change.</w:t>
      </w:r>
    </w:p>
    <w:p>
      <w:r>
        <w:rPr>
          <w:b/>
        </w:rPr>
        <w:t xml:space="preserve">Architectural Choice — Reason 2: </w:t>
      </w:r>
      <w:r>
        <w:t>Asset processing and secure delivery can have different resource demands from payment and order operations. Independent services allow the asset/watermark path to scale separately and provide fault isolation when one service is busy or temporarily unavailable.</w:t>
      </w:r>
    </w:p>
    <w:p>
      <w:r>
        <w:rPr>
          <w:b/>
        </w:rPr>
        <w:t xml:space="preserve">Security Advantage: </w:t>
      </w:r>
      <w:r>
        <w:t>Security boundaries can be enforced per service. Payment processing is isolated in the Payment Service, while final assets remain private in storage and are exposed through short-lived signed URLs. Role and commission-ownership checks can be enforced by the Order Manager and asset-delivery service.</w:t>
      </w:r>
    </w:p>
    <w:p>
      <w:r>
        <w:rPr>
          <w:b/>
        </w:rPr>
        <w:t xml:space="preserve">Performance Benefit: </w:t>
      </w:r>
      <w:r>
        <w:t>The watermarking and asset-delivery workload can scale independently from order management and payment processing. This reduces contention and supports concurrent client/artist activity without scaling every part of the system together.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