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284C7"/>
          <w:sz w:val="20"/>
        </w:rPr>
        <w:t>ETHONLINE 2026 HACKATHON SUBMISSION</w:t>
        <w:br/>
      </w:r>
      <w:r>
        <w:rPr>
          <w:rFonts w:ascii="Calibri" w:hAnsi="Calibri"/>
          <w:b/>
          <w:color w:val="0F172A"/>
          <w:sz w:val="64"/>
        </w:rPr>
        <w:t>THELEMA</w:t>
      </w:r>
    </w:p>
    <w:p>
      <w:pPr>
        <w:spacing w:before="0" w:after="280"/>
      </w:pPr>
      <w:r>
        <w:rPr>
          <w:rFonts w:ascii="Calibri" w:hAnsi="Calibri"/>
          <w:b/>
          <w:color w:val="059669"/>
          <w:sz w:val="32"/>
        </w:rPr>
        <w:t>Trade the Impact. Not Just the Odds.</w:t>
      </w:r>
    </w:p>
    <w:p>
      <w:pPr>
        <w:spacing w:before="0" w:after="400"/>
      </w:pPr>
      <w:r>
        <w:rPr>
          <w:rFonts w:ascii="Calibri" w:hAnsi="Calibri"/>
          <w:color w:val="334155"/>
          <w:sz w:val="22"/>
        </w:rPr>
        <w:t>A Comprehensive Pitch, Technical Whitepaper &amp; Judging Briefing for Conditional Synthetic Prediction Markets deployed natively on Arc Testnet, indexed by The Graph decentralized gateway, and secured with Chainlink CRE confidential workflows.</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pPr>
              <w:spacing w:after="0"/>
            </w:pPr>
            <w:r>
              <w:rPr>
                <w:rFonts w:ascii="Calibri" w:hAnsi="Calibri"/>
                <w:b/>
                <w:color w:val="0F172A"/>
                <w:sz w:val="19"/>
              </w:rPr>
              <w:t>Hosted Production Application</w:t>
            </w:r>
          </w:p>
        </w:tc>
        <w:tc>
          <w:tcPr>
            <w:tcW w:type="dxa" w:w="6192"/>
            <w:shd w:fill="F8FAFC"/>
            <w:tcMar>
              <w:top w:w="80" w:type="dxa"/>
              <w:bottom w:w="80" w:type="dxa"/>
              <w:left w:w="120" w:type="dxa"/>
              <w:right w:w="120" w:type="dxa"/>
            </w:tcMar>
          </w:tcPr>
          <w:p>
            <w:pPr>
              <w:spacing w:after="0"/>
            </w:pPr>
            <w:r>
              <w:rPr>
                <w:rFonts w:ascii="Calibri" w:hAnsi="Calibri"/>
                <w:color w:val="0284C7"/>
                <w:sz w:val="19"/>
              </w:rPr>
              <w:t>https://thelema.onrender.com</w:t>
            </w:r>
          </w:p>
        </w:tc>
      </w:tr>
      <w:tr>
        <w:tc>
          <w:tcPr>
            <w:tcW w:type="dxa" w:w="3168"/>
            <w:shd w:fill="F1F5F9"/>
            <w:tcMar>
              <w:top w:w="80" w:type="dxa"/>
              <w:bottom w:w="80" w:type="dxa"/>
              <w:left w:w="120" w:type="dxa"/>
              <w:right w:w="120" w:type="dxa"/>
            </w:tcMar>
          </w:tcPr>
          <w:p>
            <w:pPr>
              <w:spacing w:after="0"/>
            </w:pPr>
            <w:r>
              <w:rPr>
                <w:rFonts w:ascii="Calibri" w:hAnsi="Calibri"/>
                <w:b/>
                <w:color w:val="0F172A"/>
                <w:sz w:val="19"/>
              </w:rPr>
              <w:t>Public GitHub Repository</w:t>
            </w:r>
          </w:p>
        </w:tc>
        <w:tc>
          <w:tcPr>
            <w:tcW w:type="dxa" w:w="6192"/>
            <w:shd w:fill="F8FAFC"/>
            <w:tcMar>
              <w:top w:w="80" w:type="dxa"/>
              <w:bottom w:w="80" w:type="dxa"/>
              <w:left w:w="120" w:type="dxa"/>
              <w:right w:w="120" w:type="dxa"/>
            </w:tcMar>
          </w:tcPr>
          <w:p>
            <w:pPr>
              <w:spacing w:after="0"/>
            </w:pPr>
            <w:r>
              <w:rPr>
                <w:rFonts w:ascii="Calibri" w:hAnsi="Calibri"/>
                <w:color w:val="0284C7"/>
                <w:sz w:val="19"/>
              </w:rPr>
              <w:t>https://github.com/ShrikarT/thelema</w:t>
            </w:r>
          </w:p>
        </w:tc>
      </w:tr>
      <w:tr>
        <w:tc>
          <w:tcPr>
            <w:tcW w:type="dxa" w:w="3168"/>
            <w:shd w:fill="F1F5F9"/>
            <w:tcMar>
              <w:top w:w="80" w:type="dxa"/>
              <w:bottom w:w="80" w:type="dxa"/>
              <w:left w:w="120" w:type="dxa"/>
              <w:right w:w="120" w:type="dxa"/>
            </w:tcMar>
          </w:tcPr>
          <w:p>
            <w:pPr>
              <w:spacing w:after="0"/>
            </w:pPr>
            <w:r>
              <w:rPr>
                <w:rFonts w:ascii="Calibri" w:hAnsi="Calibri"/>
                <w:b/>
                <w:color w:val="0F172A"/>
                <w:sz w:val="19"/>
              </w:rPr>
              <w:t>Active Submission Commit</w:t>
            </w:r>
          </w:p>
        </w:tc>
        <w:tc>
          <w:tcPr>
            <w:tcW w:type="dxa" w:w="6192"/>
            <w:shd w:fill="F8FAFC"/>
            <w:tcMar>
              <w:top w:w="80" w:type="dxa"/>
              <w:bottom w:w="80" w:type="dxa"/>
              <w:left w:w="120" w:type="dxa"/>
              <w:right w:w="120" w:type="dxa"/>
            </w:tcMar>
          </w:tcPr>
          <w:p>
            <w:pPr>
              <w:spacing w:after="0"/>
            </w:pPr>
            <w:r>
              <w:rPr>
                <w:rFonts w:ascii="Calibri" w:hAnsi="Calibri"/>
                <w:color w:val="334155"/>
                <w:sz w:val="19"/>
              </w:rPr>
              <w:t>e73b87c8052ebfdf118742db9d2b2707f433f0ba (docs: finalize verified Arc submission evidence)</w:t>
            </w:r>
          </w:p>
        </w:tc>
      </w:tr>
      <w:tr>
        <w:tc>
          <w:tcPr>
            <w:tcW w:type="dxa" w:w="3168"/>
            <w:shd w:fill="F1F5F9"/>
            <w:tcMar>
              <w:top w:w="80" w:type="dxa"/>
              <w:bottom w:w="80" w:type="dxa"/>
              <w:left w:w="120" w:type="dxa"/>
              <w:right w:w="120" w:type="dxa"/>
            </w:tcMar>
          </w:tcPr>
          <w:p>
            <w:pPr>
              <w:spacing w:after="0"/>
            </w:pPr>
            <w:r>
              <w:rPr>
                <w:rFonts w:ascii="Calibri" w:hAnsi="Calibri"/>
                <w:b/>
                <w:color w:val="0F172A"/>
                <w:sz w:val="19"/>
              </w:rPr>
              <w:t>CI Validation Status</w:t>
            </w:r>
          </w:p>
        </w:tc>
        <w:tc>
          <w:tcPr>
            <w:tcW w:type="dxa" w:w="6192"/>
            <w:shd w:fill="F8FAFC"/>
            <w:tcMar>
              <w:top w:w="80" w:type="dxa"/>
              <w:bottom w:w="80" w:type="dxa"/>
              <w:left w:w="120" w:type="dxa"/>
              <w:right w:w="120" w:type="dxa"/>
            </w:tcMar>
          </w:tcPr>
          <w:p>
            <w:pPr>
              <w:spacing w:after="0"/>
            </w:pPr>
            <w:r>
              <w:rPr>
                <w:rFonts w:ascii="Calibri" w:hAnsi="Calibri"/>
                <w:color w:val="334155"/>
                <w:sz w:val="19"/>
              </w:rPr>
              <w:t>GitHub Actions Run ID 34694481628 (ALL GREEN — 26s)</w:t>
            </w:r>
          </w:p>
        </w:tc>
      </w:tr>
    </w:tbl>
    <w:p>
      <w:pPr>
        <w:spacing w:after="280"/>
      </w:pPr>
    </w:p>
    <w:p>
      <w:pPr>
        <w:spacing w:before="360" w:after="120"/>
      </w:pPr>
      <w:r>
        <w:rPr>
          <w:rFonts w:ascii="Calibri" w:hAnsi="Calibri"/>
          <w:b/>
          <w:color w:val="0F172A"/>
          <w:sz w:val="36"/>
        </w:rPr>
        <w:t>1. Executive Summary</w:t>
      </w:r>
    </w:p>
    <w:p>
      <w:pPr>
        <w:spacing w:before="0" w:after="120" w:line="276" w:lineRule="auto"/>
      </w:pPr>
      <w:r>
        <w:rPr>
          <w:rFonts w:ascii="Calibri" w:hAnsi="Calibri"/>
          <w:i w:val="0"/>
          <w:color w:val="334155"/>
          <w:sz w:val="21"/>
        </w:rPr>
        <w:t>THELEMA represents a paradigm shift in decentralized predictive finance. Today's prediction markets—while revolutionary—suffer from a structural limitation: they are purely binary. They determine whether an event occurs ($1 or $0 payout), but provide zero information regarding the economic magnitude or consequence of that event on financial assets.</w:t>
      </w:r>
    </w:p>
    <w:p>
      <w:pPr>
        <w:spacing w:before="0" w:after="120" w:line="276" w:lineRule="auto"/>
      </w:pPr>
      <w:r>
        <w:rPr>
          <w:rFonts w:ascii="Calibri" w:hAnsi="Calibri"/>
          <w:i w:val="0"/>
          <w:color w:val="334155"/>
          <w:sz w:val="21"/>
        </w:rPr>
        <w:t>THELEMA introduces conditional synthetic impact markets. By decoupling outcomes into parallel contingent worlds (YES world vs. NO world), THELEMA prices not merely the odds of a policy decision, but what happens to asset valuations conditional upon that decision. For ETHOnline 2026, we deployed a live market on Arc Testnet pricing the critical geopolitical and tech question: "Will the US allow advanced AI chip sales to China by 31 December 2026?"</w:t>
      </w:r>
    </w:p>
    <w:p>
      <w:pPr>
        <w:spacing w:before="0" w:after="120" w:line="276" w:lineRule="auto"/>
      </w:pPr>
      <w:r>
        <w:rPr>
          <w:rFonts w:ascii="Calibri" w:hAnsi="Calibri"/>
          <w:i w:val="0"/>
          <w:color w:val="334155"/>
          <w:sz w:val="21"/>
        </w:rPr>
        <w:t>Built strictly from scratch with zero mocked production delivery, THELEMA combines 6 verified Solidity smart contracts on Arc Testnet, an automated cross-protocol DEX consensus engine powered by The Graph's decentralized Messari schema, and an ahead-of-time WASM-compiled Confidential Runtime Environment (CRE) workflow for order privacy.</w:t>
      </w:r>
    </w:p>
    <w:p>
      <w:pPr>
        <w:spacing w:before="360" w:after="120"/>
      </w:pPr>
      <w:r>
        <w:rPr>
          <w:rFonts w:ascii="Calibri" w:hAnsi="Calibri"/>
          <w:b/>
          <w:color w:val="0F172A"/>
          <w:sz w:val="36"/>
        </w:rPr>
        <w:t>2. The Fundamental Problem: Odds vs. Consequences</w:t>
      </w:r>
    </w:p>
    <w:p>
      <w:pPr>
        <w:spacing w:before="0" w:after="120" w:line="276" w:lineRule="auto"/>
      </w:pPr>
      <w:r>
        <w:rPr>
          <w:rFonts w:ascii="Calibri" w:hAnsi="Calibri"/>
          <w:i w:val="0"/>
          <w:color w:val="334155"/>
          <w:sz w:val="21"/>
        </w:rPr>
        <w:t>Consider an enterprise treasury, hardware manufacturer, or portfolio manager analyzing US-China semiconductor export restrictions. On existing binary platforms like Polymarket, market participants might establish a 55% probability that the policy passes. While insightful, this single probability is practically useless for balance-sheet risk management:</w:t>
      </w:r>
    </w:p>
    <w:p>
      <w:pPr>
        <w:pStyle w:val="ListBullet"/>
        <w:spacing w:before="0" w:after="80" w:line="276" w:lineRule="auto"/>
      </w:pPr>
      <w:r>
        <w:rPr>
          <w:rFonts w:ascii="Calibri" w:hAnsi="Calibri"/>
          <w:b/>
          <w:color w:val="0F172A"/>
          <w:sz w:val="21"/>
        </w:rPr>
        <w:t xml:space="preserve">Binary Disconnection: </w:t>
      </w:r>
      <w:r>
        <w:rPr>
          <w:rFonts w:ascii="Calibri" w:hAnsi="Calibri"/>
          <w:color w:val="334155"/>
          <w:sz w:val="21"/>
        </w:rPr>
        <w:t>A winning binary share pays $1 regardless of whether Nvidia's earnings surge 5% or collapse 40%. The economic magnitude is invisible.</w:t>
      </w:r>
    </w:p>
    <w:p>
      <w:pPr>
        <w:pStyle w:val="ListBullet"/>
        <w:spacing w:before="0" w:after="80" w:line="276" w:lineRule="auto"/>
      </w:pPr>
      <w:r>
        <w:rPr>
          <w:rFonts w:ascii="Calibri" w:hAnsi="Calibri"/>
          <w:b/>
          <w:color w:val="0F172A"/>
          <w:sz w:val="21"/>
        </w:rPr>
        <w:t xml:space="preserve">Speculative Inefficiency: </w:t>
      </w:r>
      <w:r>
        <w:rPr>
          <w:rFonts w:ascii="Calibri" w:hAnsi="Calibri"/>
          <w:color w:val="334155"/>
          <w:sz w:val="21"/>
        </w:rPr>
        <w:t>Traders cannot hedge existing physical equity, GPU inventory, or corporate compute commitments using binary tokens.</w:t>
      </w:r>
    </w:p>
    <w:p>
      <w:pPr>
        <w:pStyle w:val="ListBullet"/>
        <w:spacing w:before="0" w:after="80" w:line="276" w:lineRule="auto"/>
      </w:pPr>
      <w:r>
        <w:rPr>
          <w:rFonts w:ascii="Calibri" w:hAnsi="Calibri"/>
          <w:b/>
          <w:color w:val="0F172A"/>
          <w:sz w:val="21"/>
        </w:rPr>
        <w:t xml:space="preserve">Fragmented Liquidity: </w:t>
      </w:r>
      <w:r>
        <w:rPr>
          <w:rFonts w:ascii="Calibri" w:hAnsi="Calibri"/>
          <w:color w:val="334155"/>
          <w:sz w:val="21"/>
        </w:rPr>
        <w:t>Equities trade on legacy stock markets while political odds trade on crypto prediction markets with no cryptographic bridge connecting the two.</w:t>
      </w:r>
    </w:p>
    <w:p>
      <w:pPr>
        <w:spacing w:before="0" w:after="120" w:line="276" w:lineRule="auto"/>
      </w:pPr>
      <w:r>
        <w:rPr>
          <w:rFonts w:ascii="Calibri" w:hAnsi="Calibri"/>
          <w:i w:val="0"/>
          <w:color w:val="334155"/>
          <w:sz w:val="21"/>
        </w:rPr>
        <w:t>THELEMA bridges this divide. It introduces conditional synthetic assets—specifically sNVDA—which trade in two parallel AMM pools: sNVDA|YES (the value of Nvidia if sales are permitted) and sNVDA|NO (the value of Nvidia if restrictions remain). The difference between these two conditional prices reveals the true market-implied regulatory impact.</w:t>
      </w:r>
    </w:p>
    <w:p>
      <w:pPr>
        <w:spacing w:before="360" w:after="120"/>
      </w:pPr>
      <w:r>
        <w:rPr>
          <w:rFonts w:ascii="Calibri" w:hAnsi="Calibri"/>
          <w:b/>
          <w:color w:val="0F172A"/>
          <w:sz w:val="36"/>
        </w:rPr>
        <w:t>3. Pricing Mechanism &amp; Invariant Mathematics</w:t>
      </w:r>
    </w:p>
    <w:p>
      <w:pPr>
        <w:spacing w:before="0" w:after="120" w:line="276" w:lineRule="auto"/>
      </w:pPr>
      <w:r>
        <w:rPr>
          <w:rFonts w:ascii="Calibri" w:hAnsi="Calibri"/>
          <w:i w:val="0"/>
          <w:color w:val="334155"/>
          <w:sz w:val="21"/>
        </w:rPr>
        <w:t>From the automated market maker reserves across our Binary AMM and Share AMMs, THELEMA continuously computes four verified numbers without reliance on centralized price feeds:</w:t>
      </w:r>
    </w:p>
    <w:p>
      <w:pPr>
        <w:pStyle w:val="ListBullet"/>
        <w:spacing w:before="0" w:after="80" w:line="276" w:lineRule="auto"/>
      </w:pPr>
      <w:r>
        <w:rPr>
          <w:rFonts w:ascii="Calibri" w:hAnsi="Calibri"/>
          <w:b/>
          <w:color w:val="0F172A"/>
          <w:sz w:val="21"/>
        </w:rPr>
        <w:t xml:space="preserve">1. Event Probability P(event): </w:t>
      </w:r>
      <w:r>
        <w:rPr>
          <w:rFonts w:ascii="Calibri" w:hAnsi="Calibri"/>
          <w:color w:val="334155"/>
          <w:sz w:val="21"/>
        </w:rPr>
        <w:t>Derived directly from the Binary AMM YES reserve midprice (currently 54.7% on Arc Testnet).</w:t>
      </w:r>
    </w:p>
    <w:p>
      <w:pPr>
        <w:pStyle w:val="ListBullet"/>
        <w:spacing w:before="0" w:after="80" w:line="276" w:lineRule="auto"/>
      </w:pPr>
      <w:r>
        <w:rPr>
          <w:rFonts w:ascii="Calibri" w:hAnsi="Calibri"/>
          <w:b/>
          <w:color w:val="0F172A"/>
          <w:sz w:val="21"/>
        </w:rPr>
        <w:t xml:space="preserve">2. Conditional Asset Price E[S | YES]: </w:t>
      </w:r>
      <w:r>
        <w:rPr>
          <w:rFonts w:ascii="Calibri" w:hAnsi="Calibri"/>
          <w:color w:val="334155"/>
          <w:sz w:val="21"/>
        </w:rPr>
        <w:t>The expected synthetic index price in the event that policy allows sales ($212.92).</w:t>
      </w:r>
    </w:p>
    <w:p>
      <w:pPr>
        <w:pStyle w:val="ListBullet"/>
        <w:spacing w:before="0" w:after="80" w:line="276" w:lineRule="auto"/>
      </w:pPr>
      <w:r>
        <w:rPr>
          <w:rFonts w:ascii="Calibri" w:hAnsi="Calibri"/>
          <w:b/>
          <w:color w:val="0F172A"/>
          <w:sz w:val="21"/>
        </w:rPr>
        <w:t xml:space="preserve">3. Conditional Asset Price E[S | NO]: </w:t>
      </w:r>
      <w:r>
        <w:rPr>
          <w:rFonts w:ascii="Calibri" w:hAnsi="Calibri"/>
          <w:color w:val="334155"/>
          <w:sz w:val="21"/>
        </w:rPr>
        <w:t>The expected synthetic index price in the event that restrictions continue ($96.46).</w:t>
      </w:r>
    </w:p>
    <w:p>
      <w:pPr>
        <w:pStyle w:val="ListBullet"/>
        <w:spacing w:before="0" w:after="80" w:line="276" w:lineRule="auto"/>
      </w:pPr>
      <w:r>
        <w:rPr>
          <w:rFonts w:ascii="Calibri" w:hAnsi="Calibri"/>
          <w:b/>
          <w:color w:val="0F172A"/>
          <w:sz w:val="21"/>
        </w:rPr>
        <w:t xml:space="preserve">4. Conditional Impact (Δ Impact): </w:t>
      </w:r>
      <w:r>
        <w:rPr>
          <w:rFonts w:ascii="Calibri" w:hAnsi="Calibri"/>
          <w:color w:val="334155"/>
          <w:sz w:val="21"/>
        </w:rPr>
        <w:t>E[S | YES] − E[S | NO] = +$116.47 per unit. This directly quantifies the market value of policy clearance.</w:t>
      </w:r>
    </w:p>
    <w:p>
      <w:pPr>
        <w:spacing w:before="280" w:after="80"/>
      </w:pPr>
      <w:r>
        <w:rPr>
          <w:rFonts w:ascii="Calibri" w:hAnsi="Calibri"/>
          <w:b/>
          <w:color w:val="0284C7"/>
          <w:sz w:val="27"/>
        </w:rPr>
        <w:t>The Mathematical Pricing Identity</w:t>
      </w:r>
    </w:p>
    <w:p>
      <w:pPr>
        <w:spacing w:before="0" w:after="120" w:line="276" w:lineRule="auto"/>
      </w:pPr>
      <w:r>
        <w:rPr>
          <w:rFonts w:ascii="Calibri" w:hAnsi="Calibri"/>
          <w:b/>
          <w:color w:val="0F172A"/>
          <w:sz w:val="21"/>
        </w:rPr>
        <w:t xml:space="preserve">Invariant Formulation: </w:t>
      </w:r>
      <w:r>
        <w:rPr>
          <w:rFonts w:ascii="Calibri" w:hAnsi="Calibri"/>
          <w:i w:val="0"/>
          <w:color w:val="334155"/>
          <w:sz w:val="21"/>
        </w:rPr>
        <w:t>To guarantee absence of arbitrage and internal consistency, the four numbers must reconcile with the overall implied asset index: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jc w:val="center"/>
            </w:pPr>
            <w:r>
              <w:rPr>
                <w:rFonts w:ascii="Calibri" w:hAnsi="Calibri"/>
                <w:b/>
                <w:color w:val="0F172A"/>
                <w:sz w:val="26"/>
              </w:rPr>
              <w:t>P(event) × E[S | YES]  +  (1 − P(event)) × E[S | NO]  =  Implied Spot Index</w:t>
              <w:br/>
            </w:r>
            <w:r>
              <w:rPr>
                <w:rFonts w:ascii="Calibri" w:hAnsi="Calibri"/>
                <w:color w:val="0284C7"/>
                <w:sz w:val="22"/>
              </w:rPr>
              <w:t>0.547376 × $212.92  +  0.452624 × $96.46  =  $160.21</w:t>
            </w:r>
          </w:p>
        </w:tc>
      </w:tr>
    </w:tbl>
    <w:p>
      <w:pPr>
        <w:spacing w:before="280" w:after="80"/>
      </w:pPr>
      <w:r>
        <w:rPr>
          <w:rFonts w:ascii="Calibri" w:hAnsi="Calibri"/>
          <w:b/>
          <w:color w:val="0284C7"/>
          <w:sz w:val="27"/>
        </w:rPr>
        <w:t>Complete-Set Minting &amp; Mathematical Vault Solvency</w:t>
      </w:r>
    </w:p>
    <w:p>
      <w:pPr>
        <w:spacing w:before="0" w:after="120" w:line="276" w:lineRule="auto"/>
      </w:pPr>
      <w:r>
        <w:rPr>
          <w:rFonts w:ascii="Calibri" w:hAnsi="Calibri"/>
          <w:i w:val="0"/>
          <w:color w:val="334155"/>
          <w:sz w:val="21"/>
        </w:rPr>
        <w:t>Unlike fractional reserve systems, THELEMA's vaults enforce absolute mathematical solvency under all conceivable oracle outcomes. Users mint complete sets by locking collateral equal to the vault payout cap ($500.00 standard):</w:t>
      </w:r>
    </w:p>
    <w:p>
      <w:pPr>
        <w:pStyle w:val="ListBullet"/>
        <w:spacing w:before="0" w:after="80" w:line="276" w:lineRule="auto"/>
      </w:pPr>
      <w:r>
        <w:rPr>
          <w:rFonts w:ascii="Calibri" w:hAnsi="Calibri"/>
          <w:b/>
          <w:color w:val="0F172A"/>
          <w:sz w:val="21"/>
        </w:rPr>
        <w:t xml:space="preserve">Complete Set Decomposition: </w:t>
      </w:r>
      <w:r>
        <w:rPr>
          <w:rFonts w:ascii="Calibri" w:hAnsi="Calibri"/>
          <w:color w:val="334155"/>
          <w:sz w:val="21"/>
        </w:rPr>
        <w:t>Collateral = Cap ($500) -&gt; Mints 1 YES Share + 1 NO Share + 1 Residual Claim Token (R).</w:t>
      </w:r>
    </w:p>
    <w:p>
      <w:pPr>
        <w:pStyle w:val="ListBullet"/>
        <w:spacing w:before="0" w:after="80" w:line="276" w:lineRule="auto"/>
      </w:pPr>
      <w:r>
        <w:rPr>
          <w:rFonts w:ascii="Calibri" w:hAnsi="Calibri"/>
          <w:b/>
          <w:color w:val="0F172A"/>
          <w:sz w:val="21"/>
        </w:rPr>
        <w:t xml:space="preserve">Winning Asset Share Payoff: </w:t>
      </w:r>
      <w:r>
        <w:rPr>
          <w:rFonts w:ascii="Calibri" w:hAnsi="Calibri"/>
          <w:color w:val="334155"/>
          <w:sz w:val="21"/>
        </w:rPr>
        <w:t>Pays min(Reported Oracle Index, $500.00). Losing share pays exactly zero.</w:t>
      </w:r>
    </w:p>
    <w:p>
      <w:pPr>
        <w:pStyle w:val="ListBullet"/>
        <w:spacing w:before="0" w:after="80" w:line="276" w:lineRule="auto"/>
      </w:pPr>
      <w:r>
        <w:rPr>
          <w:rFonts w:ascii="Calibri" w:hAnsi="Calibri"/>
          <w:b/>
          <w:color w:val="0F172A"/>
          <w:sz w:val="21"/>
        </w:rPr>
        <w:t xml:space="preserve">Residual Claim (R) Payoff: </w:t>
      </w:r>
      <w:r>
        <w:rPr>
          <w:rFonts w:ascii="Calibri" w:hAnsi="Calibri"/>
          <w:color w:val="334155"/>
          <w:sz w:val="21"/>
        </w:rPr>
        <w:t>Pays max(0, $500.00 − min(Reported Oracle Index, $500.00)).</w:t>
      </w:r>
    </w:p>
    <w:p>
      <w:pPr>
        <w:pStyle w:val="ListBullet"/>
        <w:spacing w:before="0" w:after="80" w:line="276" w:lineRule="auto"/>
      </w:pPr>
      <w:r>
        <w:rPr>
          <w:rFonts w:ascii="Calibri" w:hAnsi="Calibri"/>
          <w:b/>
          <w:color w:val="0F172A"/>
          <w:sz w:val="21"/>
        </w:rPr>
        <w:t xml:space="preserve">Solvency Invariant: </w:t>
      </w:r>
      <w:r>
        <w:rPr>
          <w:rFonts w:ascii="Calibri" w:hAnsi="Calibri"/>
          <w:color w:val="334155"/>
          <w:sz w:val="21"/>
        </w:rPr>
        <w:t>Total Payout = Winning Share + Residual (R) = min(S, Cap) + (Cap − min(S, Cap)) = EXACTLY CAP ($500).</w:t>
      </w:r>
    </w:p>
    <w:p>
      <w:pPr>
        <w:spacing w:before="0" w:after="120" w:line="276" w:lineRule="auto"/>
      </w:pPr>
      <w:r>
        <w:rPr>
          <w:rFonts w:ascii="Calibri" w:hAnsi="Calibri"/>
          <w:i w:val="0"/>
          <w:color w:val="334155"/>
          <w:sz w:val="21"/>
        </w:rPr>
        <w:t>Because the sum of claims is an exact invariant equal to deposited collateral, the protocol cannot suffer insolvencies, bank runs, or shortfall debt.</w:t>
      </w:r>
    </w:p>
    <w:p>
      <w:pPr>
        <w:spacing w:before="360" w:after="120"/>
      </w:pPr>
      <w:r>
        <w:rPr>
          <w:rFonts w:ascii="Calibri" w:hAnsi="Calibri"/>
          <w:b/>
          <w:color w:val="0F172A"/>
          <w:sz w:val="36"/>
        </w:rPr>
        <w:t>4. Sponsor Track Technical Implementations</w:t>
      </w:r>
    </w:p>
    <w:p>
      <w:pPr>
        <w:spacing w:before="280" w:after="80"/>
      </w:pPr>
      <w:r>
        <w:rPr>
          <w:rFonts w:ascii="Calibri" w:hAnsi="Calibri"/>
          <w:b/>
          <w:color w:val="0284C7"/>
          <w:sz w:val="27"/>
        </w:rPr>
        <w:t>Track 1: Arc Testnet — Best DeFi Stablecoin-Native Pool ($10,000)</w:t>
      </w:r>
    </w:p>
    <w:p>
      <w:pPr>
        <w:spacing w:before="0" w:after="120" w:line="276" w:lineRule="auto"/>
      </w:pPr>
      <w:r>
        <w:rPr>
          <w:rFonts w:ascii="Calibri" w:hAnsi="Calibri"/>
          <w:i w:val="0"/>
          <w:color w:val="334155"/>
          <w:sz w:val="21"/>
        </w:rPr>
        <w:t>THELEMA is deployed natively on Arc Testnet (Chain ID 5042002). Rather than wrapping synthetic collateral into arbitrary ERC20 tokens, THELEMA integrates directly with Arc's native USDC precompile at address 0x3600000000000000000000000000000000000000. USDC serves simultaneously as native gas currency and collateral backing.</w:t>
      </w:r>
    </w:p>
    <w:p>
      <w:pPr>
        <w:pStyle w:val="ListBullet"/>
        <w:spacing w:before="0" w:after="80" w:line="276" w:lineRule="auto"/>
      </w:pPr>
      <w:r>
        <w:rPr>
          <w:rFonts w:ascii="Calibri" w:hAnsi="Calibri"/>
          <w:b/>
          <w:color w:val="0F172A"/>
          <w:sz w:val="21"/>
        </w:rPr>
        <w:t xml:space="preserve">Six Deployed Contracts: </w:t>
      </w:r>
      <w:r>
        <w:rPr>
          <w:rFonts w:ascii="Calibri" w:hAnsi="Calibri"/>
          <w:color w:val="334155"/>
          <w:sz w:val="21"/>
        </w:rPr>
        <w:t>BinaryAMM, ShareAMM (YES), ShareAMM (NO), BinaryVault, ShareVault, and DemoOracle.</w:t>
      </w:r>
    </w:p>
    <w:p>
      <w:pPr>
        <w:pStyle w:val="ListBullet"/>
        <w:spacing w:before="0" w:after="80" w:line="276" w:lineRule="auto"/>
      </w:pPr>
      <w:r>
        <w:rPr>
          <w:rFonts w:ascii="Calibri" w:hAnsi="Calibri"/>
          <w:b/>
          <w:color w:val="0F172A"/>
          <w:sz w:val="21"/>
        </w:rPr>
        <w:t xml:space="preserve">Exact Six-Decimal Accounting: </w:t>
      </w:r>
      <w:r>
        <w:rPr>
          <w:rFonts w:ascii="Calibri" w:hAnsi="Calibri"/>
          <w:color w:val="334155"/>
          <w:sz w:val="21"/>
        </w:rPr>
        <w:t>All contract interfaces enforce 6-decimal scaling natively matching USDC, avoiding rounding exploits.</w:t>
      </w:r>
    </w:p>
    <w:p>
      <w:pPr>
        <w:pStyle w:val="ListBullet"/>
        <w:spacing w:before="0" w:after="80" w:line="276" w:lineRule="auto"/>
      </w:pPr>
      <w:r>
        <w:rPr>
          <w:rFonts w:ascii="Calibri" w:hAnsi="Calibri"/>
          <w:b/>
          <w:color w:val="0F172A"/>
          <w:sz w:val="21"/>
        </w:rPr>
        <w:t xml:space="preserve">Verified Demonstration Trade: </w:t>
      </w:r>
      <w:r>
        <w:rPr>
          <w:rFonts w:ascii="Calibri" w:hAnsi="Calibri"/>
          <w:color w:val="334155"/>
          <w:sz w:val="21"/>
        </w:rPr>
        <w:t>Real demonstration buy of 1.00 USDC executed on-chain in block 61728406, verifiable on Arcscan.</w:t>
      </w:r>
    </w:p>
    <w:p>
      <w:pPr>
        <w:pStyle w:val="ListBullet"/>
        <w:spacing w:before="0" w:after="80" w:line="276" w:lineRule="auto"/>
      </w:pPr>
      <w:r>
        <w:rPr>
          <w:rFonts w:ascii="Calibri" w:hAnsi="Calibri"/>
          <w:b/>
          <w:color w:val="0F172A"/>
          <w:sz w:val="21"/>
        </w:rPr>
        <w:t xml:space="preserve">Code Reference: </w:t>
      </w:r>
      <w:r>
        <w:rPr>
          <w:rFonts w:ascii="Calibri" w:hAnsi="Calibri"/>
          <w:color w:val="334155"/>
          <w:sz w:val="21"/>
        </w:rPr>
        <w:t>packages/arc/client.ts (L33-L78) &amp; packages/contracts/src/vault/BinaryVault.sol.</w:t>
      </w:r>
    </w:p>
    <w:p>
      <w:pPr>
        <w:spacing w:before="280" w:after="80"/>
      </w:pPr>
      <w:r>
        <w:rPr>
          <w:rFonts w:ascii="Calibri" w:hAnsi="Calibri"/>
          <w:b/>
          <w:color w:val="0284C7"/>
          <w:sz w:val="27"/>
        </w:rPr>
        <w:t>Track 2: The Graph — Standardized DEX Consensus ($15,000)</w:t>
      </w:r>
    </w:p>
    <w:p>
      <w:pPr>
        <w:spacing w:before="0" w:after="120" w:line="276" w:lineRule="auto"/>
      </w:pPr>
      <w:r>
        <w:rPr>
          <w:rFonts w:ascii="Calibri" w:hAnsi="Calibri"/>
          <w:i w:val="0"/>
          <w:color w:val="334155"/>
          <w:sz w:val="21"/>
        </w:rPr>
        <w:t>To provide an independent, manipulation-resistant reference check for synthetic assets, THELEMA built an automated cross-protocol DEX consensus engine that queries The Graph decentralized network.</w:t>
      </w:r>
    </w:p>
    <w:p>
      <w:pPr>
        <w:pStyle w:val="ListBullet"/>
        <w:spacing w:before="0" w:after="80" w:line="276" w:lineRule="auto"/>
      </w:pPr>
      <w:r>
        <w:rPr>
          <w:rFonts w:ascii="Calibri" w:hAnsi="Calibri"/>
          <w:b/>
          <w:color w:val="0F172A"/>
          <w:sz w:val="21"/>
        </w:rPr>
        <w:t xml:space="preserve">Standardized Messari DEX Schema: </w:t>
      </w:r>
      <w:r>
        <w:rPr>
          <w:rFonts w:ascii="Calibri" w:hAnsi="Calibri"/>
          <w:color w:val="334155"/>
          <w:sz w:val="21"/>
        </w:rPr>
        <w:t>Leverages the unified LiquidityPool and inputTokens schema across disparate DEX architectures.</w:t>
      </w:r>
    </w:p>
    <w:p>
      <w:pPr>
        <w:pStyle w:val="ListBullet"/>
        <w:spacing w:before="0" w:after="80" w:line="276" w:lineRule="auto"/>
      </w:pPr>
      <w:r>
        <w:rPr>
          <w:rFonts w:ascii="Calibri" w:hAnsi="Calibri"/>
          <w:b/>
          <w:color w:val="0F172A"/>
          <w:sz w:val="21"/>
        </w:rPr>
        <w:t xml:space="preserve">Dual Protocol Observation: </w:t>
      </w:r>
      <w:r>
        <w:rPr>
          <w:rFonts w:ascii="Calibri" w:hAnsi="Calibri"/>
          <w:color w:val="334155"/>
          <w:sz w:val="21"/>
        </w:rPr>
        <w:t>Queries Uniswap V3 (FQ6JYszEKApsBpAmiHesRsd9Ygc6mzmpNRANeVQFYoVX) and SushiSwap (9tSS5FaePZnjmnXnSKCCqKVLAqA6eGg6jA2oRojsXUbP) on Arbitrum One.</w:t>
      </w:r>
    </w:p>
    <w:p>
      <w:pPr>
        <w:pStyle w:val="ListBullet"/>
        <w:spacing w:before="0" w:after="80" w:line="276" w:lineRule="auto"/>
      </w:pPr>
      <w:r>
        <w:rPr>
          <w:rFonts w:ascii="Calibri" w:hAnsi="Calibri"/>
          <w:b/>
          <w:color w:val="0F172A"/>
          <w:sz w:val="21"/>
        </w:rPr>
        <w:t xml:space="preserve">Spread Consensus Engine: </w:t>
      </w:r>
      <w:r>
        <w:rPr>
          <w:rFonts w:ascii="Calibri" w:hAnsi="Calibri"/>
          <w:color w:val="334155"/>
          <w:sz w:val="21"/>
        </w:rPr>
        <w:t>Computes real-time price deviation (currently 0.25% spread, well within the 1.5% maximum threshold).</w:t>
      </w:r>
    </w:p>
    <w:p>
      <w:pPr>
        <w:pStyle w:val="ListBullet"/>
        <w:spacing w:before="0" w:after="80" w:line="276" w:lineRule="auto"/>
      </w:pPr>
      <w:r>
        <w:rPr>
          <w:rFonts w:ascii="Calibri" w:hAnsi="Calibri"/>
          <w:b/>
          <w:color w:val="0F172A"/>
          <w:sz w:val="21"/>
        </w:rPr>
        <w:t xml:space="preserve">Security Architecture: </w:t>
      </w:r>
      <w:r>
        <w:rPr>
          <w:rFonts w:ascii="Calibri" w:hAnsi="Calibri"/>
          <w:color w:val="334155"/>
          <w:sz w:val="21"/>
        </w:rPr>
        <w:t>Server-side queries keep private Gateway API keys completely out of browser bundles.</w:t>
      </w:r>
    </w:p>
    <w:p>
      <w:pPr>
        <w:pStyle w:val="ListBullet"/>
        <w:spacing w:before="0" w:after="80" w:line="276" w:lineRule="auto"/>
      </w:pPr>
      <w:r>
        <w:rPr>
          <w:rFonts w:ascii="Calibri" w:hAnsi="Calibri"/>
          <w:b/>
          <w:color w:val="0F172A"/>
          <w:sz w:val="21"/>
        </w:rPr>
        <w:t xml:space="preserve">Code Reference: </w:t>
      </w:r>
      <w:r>
        <w:rPr>
          <w:rFonts w:ascii="Calibri" w:hAnsi="Calibri"/>
          <w:color w:val="334155"/>
          <w:sz w:val="21"/>
        </w:rPr>
        <w:t>packages/graph/index.ts (L21-L40, L411-L439).</w:t>
      </w:r>
    </w:p>
    <w:p>
      <w:pPr>
        <w:spacing w:before="280" w:after="80"/>
      </w:pPr>
      <w:r>
        <w:rPr>
          <w:rFonts w:ascii="Calibri" w:hAnsi="Calibri"/>
          <w:b/>
          <w:color w:val="0284C7"/>
          <w:sz w:val="27"/>
        </w:rPr>
        <w:t>Track 3: Chainlink — Best Confidential Workflow ($3,000)</w:t>
      </w:r>
    </w:p>
    <w:p>
      <w:pPr>
        <w:spacing w:before="0" w:after="120" w:line="276" w:lineRule="auto"/>
      </w:pPr>
      <w:r>
        <w:rPr>
          <w:rFonts w:ascii="Calibri" w:hAnsi="Calibri"/>
          <w:i w:val="0"/>
          <w:color w:val="334155"/>
          <w:sz w:val="21"/>
        </w:rPr>
        <w:t>Large market orders in prediction AMMs are notorious for suffering sandwich attacks, front-running, and toxic MEV. THELEMA designed a Confidential Runtime Environment (CRE) workflow to privatize order sizing.</w:t>
      </w:r>
    </w:p>
    <w:p>
      <w:pPr>
        <w:pStyle w:val="ListBullet"/>
        <w:spacing w:before="0" w:after="80" w:line="276" w:lineRule="auto"/>
      </w:pPr>
      <w:r>
        <w:rPr>
          <w:rFonts w:ascii="Calibri" w:hAnsi="Calibri"/>
          <w:b/>
          <w:color w:val="0F172A"/>
          <w:sz w:val="21"/>
        </w:rPr>
        <w:t xml:space="preserve">WASM-Compiled Policy: </w:t>
      </w:r>
      <w:r>
        <w:rPr>
          <w:rFonts w:ascii="Calibri" w:hAnsi="Calibri"/>
          <w:color w:val="334155"/>
          <w:sz w:val="21"/>
        </w:rPr>
        <w:t>Order size clipping policy implemented in pure TypeScript and compiled to a standalone WebAssembly module (clipping.wasm, SHA-256: 854bf26b...).</w:t>
      </w:r>
    </w:p>
    <w:p>
      <w:pPr>
        <w:pStyle w:val="ListBullet"/>
        <w:spacing w:before="0" w:after="80" w:line="276" w:lineRule="auto"/>
      </w:pPr>
      <w:r>
        <w:rPr>
          <w:rFonts w:ascii="Calibri" w:hAnsi="Calibri"/>
          <w:b/>
          <w:color w:val="0F172A"/>
          <w:sz w:val="21"/>
        </w:rPr>
        <w:t xml:space="preserve">Official CLI Simulator Execution: </w:t>
      </w:r>
      <w:r>
        <w:rPr>
          <w:rFonts w:ascii="Calibri" w:hAnsi="Calibri"/>
          <w:color w:val="334155"/>
          <w:sz w:val="21"/>
        </w:rPr>
        <w:t>Simulated end-to-end using Chainlink's official CLI (cre workflow simulate). Halted at the staging callback DNS boundary (bridge.example.com, exit=1).</w:t>
      </w:r>
    </w:p>
    <w:p>
      <w:pPr>
        <w:pStyle w:val="ListBullet"/>
        <w:spacing w:before="0" w:after="80" w:line="276" w:lineRule="auto"/>
      </w:pPr>
      <w:r>
        <w:rPr>
          <w:rFonts w:ascii="Calibri" w:hAnsi="Calibri"/>
          <w:b/>
          <w:color w:val="0F172A"/>
          <w:sz w:val="21"/>
        </w:rPr>
        <w:t xml:space="preserve">Honest Reporting: </w:t>
      </w:r>
      <w:r>
        <w:rPr>
          <w:rFonts w:ascii="Calibri" w:hAnsi="Calibri"/>
          <w:color w:val="334155"/>
          <w:sz w:val="21"/>
        </w:rPr>
        <w:t>Fully candid presentation: no fake TEE receipts or spoofed callbacks. Production contract standby pending Chainlink organization Deploy Access.</w:t>
      </w:r>
    </w:p>
    <w:p>
      <w:pPr>
        <w:pStyle w:val="ListBullet"/>
        <w:spacing w:before="0" w:after="80" w:line="276" w:lineRule="auto"/>
      </w:pPr>
      <w:r>
        <w:rPr>
          <w:rFonts w:ascii="Calibri" w:hAnsi="Calibri"/>
          <w:b/>
          <w:color w:val="0F172A"/>
          <w:sz w:val="21"/>
        </w:rPr>
        <w:t xml:space="preserve">Code Reference: </w:t>
      </w:r>
      <w:r>
        <w:rPr>
          <w:rFonts w:ascii="Calibri" w:hAnsi="Calibri"/>
          <w:color w:val="334155"/>
          <w:sz w:val="21"/>
        </w:rPr>
        <w:t>packages/cre/policy.ts (L1-L26) &amp; packages/cre/index.ts (L6-L43).</w:t>
      </w:r>
    </w:p>
    <w:p>
      <w:pPr>
        <w:spacing w:before="360" w:after="120"/>
      </w:pPr>
      <w:r>
        <w:rPr>
          <w:rFonts w:ascii="Calibri" w:hAnsi="Calibri"/>
          <w:b/>
          <w:color w:val="0F172A"/>
          <w:sz w:val="36"/>
        </w:rPr>
        <w:t>5. Live Deployment, On-Chain Verification &amp; Spending Audit</w:t>
      </w:r>
    </w:p>
    <w:p>
      <w:pPr>
        <w:spacing w:before="0" w:after="120" w:line="276" w:lineRule="auto"/>
      </w:pPr>
      <w:r>
        <w:rPr>
          <w:rFonts w:ascii="Calibri" w:hAnsi="Calibri"/>
          <w:i w:val="0"/>
          <w:color w:val="334155"/>
          <w:sz w:val="21"/>
        </w:rPr>
        <w:t>All smart contracts are active on Arc Testnet, initialized with verified reserves, and open for trading:</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rFonts w:ascii="Calibri" w:hAnsi="Calibri"/>
                <w:b/>
                <w:color w:val="FFFFFF"/>
                <w:sz w:val="19"/>
              </w:rPr>
              <w:t>Contract</w:t>
            </w:r>
          </w:p>
        </w:tc>
        <w:tc>
          <w:tcPr>
            <w:tcW w:type="dxa" w:w="3120"/>
            <w:shd w:fill="0F172A"/>
            <w:tcMar>
              <w:top w:w="80" w:type="dxa"/>
              <w:bottom w:w="80" w:type="dxa"/>
              <w:left w:w="100" w:type="dxa"/>
              <w:right w:w="100" w:type="dxa"/>
            </w:tcMar>
          </w:tcPr>
          <w:p>
            <w:r>
              <w:rPr>
                <w:rFonts w:ascii="Calibri" w:hAnsi="Calibri"/>
                <w:b/>
                <w:color w:val="FFFFFF"/>
                <w:sz w:val="19"/>
              </w:rPr>
              <w:t>Arc Testnet Address</w:t>
            </w:r>
          </w:p>
        </w:tc>
        <w:tc>
          <w:tcPr>
            <w:tcW w:type="dxa" w:w="3120"/>
            <w:shd w:fill="0F172A"/>
            <w:tcMar>
              <w:top w:w="80" w:type="dxa"/>
              <w:bottom w:w="80" w:type="dxa"/>
              <w:left w:w="100" w:type="dxa"/>
              <w:right w:w="100" w:type="dxa"/>
            </w:tcMar>
          </w:tcPr>
          <w:p>
            <w:r>
              <w:rPr>
                <w:rFonts w:ascii="Calibri" w:hAnsi="Calibri"/>
                <w:b/>
                <w:color w:val="FFFFFF"/>
                <w:sz w:val="19"/>
              </w:rPr>
              <w:t>Deployment Block</w:t>
            </w:r>
          </w:p>
        </w:tc>
      </w:tr>
      <w:tr>
        <w:tc>
          <w:tcPr>
            <w:tcW w:type="dxa" w:w="3120"/>
            <w:shd w:fill="F8FAFC"/>
            <w:tcMar>
              <w:top w:w="60" w:type="dxa"/>
              <w:bottom w:w="60" w:type="dxa"/>
              <w:left w:w="100" w:type="dxa"/>
              <w:right w:w="100" w:type="dxa"/>
            </w:tcMar>
          </w:tcPr>
          <w:p>
            <w:r>
              <w:rPr>
                <w:rFonts w:ascii="Calibri" w:hAnsi="Calibri"/>
                <w:color w:val="0F172A"/>
                <w:sz w:val="18"/>
              </w:rPr>
              <w:t>DemoOracle</w:t>
            </w:r>
          </w:p>
        </w:tc>
        <w:tc>
          <w:tcPr>
            <w:tcW w:type="dxa" w:w="3120"/>
            <w:shd w:fill="F8FAFC"/>
            <w:tcMar>
              <w:top w:w="60" w:type="dxa"/>
              <w:bottom w:w="60" w:type="dxa"/>
              <w:left w:w="100" w:type="dxa"/>
              <w:right w:w="100" w:type="dxa"/>
            </w:tcMar>
          </w:tcPr>
          <w:p>
            <w:r>
              <w:rPr>
                <w:rFonts w:ascii="Calibri" w:hAnsi="Calibri"/>
                <w:color w:val="334155"/>
                <w:sz w:val="18"/>
              </w:rPr>
              <w:t>0x648d135701667547e674b087f8b2c28adc053ee1</w:t>
            </w:r>
          </w:p>
        </w:tc>
        <w:tc>
          <w:tcPr>
            <w:tcW w:type="dxa" w:w="3120"/>
            <w:shd w:fill="F8FAFC"/>
            <w:tcMar>
              <w:top w:w="60" w:type="dxa"/>
              <w:bottom w:w="60" w:type="dxa"/>
              <w:left w:w="100" w:type="dxa"/>
              <w:right w:w="100" w:type="dxa"/>
            </w:tcMar>
          </w:tcPr>
          <w:p>
            <w:r>
              <w:rPr>
                <w:rFonts w:ascii="Calibri" w:hAnsi="Calibri"/>
                <w:color w:val="334155"/>
                <w:sz w:val="18"/>
              </w:rPr>
              <w:t>61727963</w:t>
            </w:r>
          </w:p>
        </w:tc>
      </w:tr>
      <w:tr>
        <w:tc>
          <w:tcPr>
            <w:tcW w:type="dxa" w:w="3120"/>
            <w:shd w:fill="FFFFFF"/>
            <w:tcMar>
              <w:top w:w="60" w:type="dxa"/>
              <w:bottom w:w="60" w:type="dxa"/>
              <w:left w:w="100" w:type="dxa"/>
              <w:right w:w="100" w:type="dxa"/>
            </w:tcMar>
          </w:tcPr>
          <w:p>
            <w:r>
              <w:rPr>
                <w:rFonts w:ascii="Calibri" w:hAnsi="Calibri"/>
                <w:color w:val="0F172A"/>
                <w:sz w:val="18"/>
              </w:rPr>
              <w:t>BinaryVault</w:t>
            </w:r>
          </w:p>
        </w:tc>
        <w:tc>
          <w:tcPr>
            <w:tcW w:type="dxa" w:w="3120"/>
            <w:shd w:fill="FFFFFF"/>
            <w:tcMar>
              <w:top w:w="60" w:type="dxa"/>
              <w:bottom w:w="60" w:type="dxa"/>
              <w:left w:w="100" w:type="dxa"/>
              <w:right w:w="100" w:type="dxa"/>
            </w:tcMar>
          </w:tcPr>
          <w:p>
            <w:r>
              <w:rPr>
                <w:rFonts w:ascii="Calibri" w:hAnsi="Calibri"/>
                <w:color w:val="334155"/>
                <w:sz w:val="18"/>
              </w:rPr>
              <w:t>0x787c65cfcff30ea1e04a63ffab57ef42b0120ab7</w:t>
            </w:r>
          </w:p>
        </w:tc>
        <w:tc>
          <w:tcPr>
            <w:tcW w:type="dxa" w:w="3120"/>
            <w:shd w:fill="FFFFFF"/>
            <w:tcMar>
              <w:top w:w="60" w:type="dxa"/>
              <w:bottom w:w="60" w:type="dxa"/>
              <w:left w:w="100" w:type="dxa"/>
              <w:right w:w="100" w:type="dxa"/>
            </w:tcMar>
          </w:tcPr>
          <w:p>
            <w:r>
              <w:rPr>
                <w:rFonts w:ascii="Calibri" w:hAnsi="Calibri"/>
                <w:color w:val="334155"/>
                <w:sz w:val="18"/>
              </w:rPr>
              <w:t>61727966</w:t>
            </w:r>
          </w:p>
        </w:tc>
      </w:tr>
      <w:tr>
        <w:tc>
          <w:tcPr>
            <w:tcW w:type="dxa" w:w="3120"/>
            <w:shd w:fill="F8FAFC"/>
            <w:tcMar>
              <w:top w:w="60" w:type="dxa"/>
              <w:bottom w:w="60" w:type="dxa"/>
              <w:left w:w="100" w:type="dxa"/>
              <w:right w:w="100" w:type="dxa"/>
            </w:tcMar>
          </w:tcPr>
          <w:p>
            <w:r>
              <w:rPr>
                <w:rFonts w:ascii="Calibri" w:hAnsi="Calibri"/>
                <w:color w:val="0F172A"/>
                <w:sz w:val="18"/>
              </w:rPr>
              <w:t>ShareVault</w:t>
            </w:r>
          </w:p>
        </w:tc>
        <w:tc>
          <w:tcPr>
            <w:tcW w:type="dxa" w:w="3120"/>
            <w:shd w:fill="F8FAFC"/>
            <w:tcMar>
              <w:top w:w="60" w:type="dxa"/>
              <w:bottom w:w="60" w:type="dxa"/>
              <w:left w:w="100" w:type="dxa"/>
              <w:right w:w="100" w:type="dxa"/>
            </w:tcMar>
          </w:tcPr>
          <w:p>
            <w:r>
              <w:rPr>
                <w:rFonts w:ascii="Calibri" w:hAnsi="Calibri"/>
                <w:color w:val="334155"/>
                <w:sz w:val="18"/>
              </w:rPr>
              <w:t>0x07e657d074e3b2e5a575b3bc30faf4c65f85edea</w:t>
            </w:r>
          </w:p>
        </w:tc>
        <w:tc>
          <w:tcPr>
            <w:tcW w:type="dxa" w:w="3120"/>
            <w:shd w:fill="F8FAFC"/>
            <w:tcMar>
              <w:top w:w="60" w:type="dxa"/>
              <w:bottom w:w="60" w:type="dxa"/>
              <w:left w:w="100" w:type="dxa"/>
              <w:right w:w="100" w:type="dxa"/>
            </w:tcMar>
          </w:tcPr>
          <w:p>
            <w:r>
              <w:rPr>
                <w:rFonts w:ascii="Calibri" w:hAnsi="Calibri"/>
                <w:color w:val="334155"/>
                <w:sz w:val="18"/>
              </w:rPr>
              <w:t>61727970</w:t>
            </w:r>
          </w:p>
        </w:tc>
      </w:tr>
      <w:tr>
        <w:tc>
          <w:tcPr>
            <w:tcW w:type="dxa" w:w="3120"/>
            <w:shd w:fill="FFFFFF"/>
            <w:tcMar>
              <w:top w:w="60" w:type="dxa"/>
              <w:bottom w:w="60" w:type="dxa"/>
              <w:left w:w="100" w:type="dxa"/>
              <w:right w:w="100" w:type="dxa"/>
            </w:tcMar>
          </w:tcPr>
          <w:p>
            <w:r>
              <w:rPr>
                <w:rFonts w:ascii="Calibri" w:hAnsi="Calibri"/>
                <w:color w:val="0F172A"/>
                <w:sz w:val="18"/>
              </w:rPr>
              <w:t>BinaryAMM</w:t>
            </w:r>
          </w:p>
        </w:tc>
        <w:tc>
          <w:tcPr>
            <w:tcW w:type="dxa" w:w="3120"/>
            <w:shd w:fill="FFFFFF"/>
            <w:tcMar>
              <w:top w:w="60" w:type="dxa"/>
              <w:bottom w:w="60" w:type="dxa"/>
              <w:left w:w="100" w:type="dxa"/>
              <w:right w:w="100" w:type="dxa"/>
            </w:tcMar>
          </w:tcPr>
          <w:p>
            <w:r>
              <w:rPr>
                <w:rFonts w:ascii="Calibri" w:hAnsi="Calibri"/>
                <w:color w:val="334155"/>
                <w:sz w:val="18"/>
              </w:rPr>
              <w:t>0x84fd754f3c10af24d5d4e38be1853f0cd14525a1</w:t>
            </w:r>
          </w:p>
        </w:tc>
        <w:tc>
          <w:tcPr>
            <w:tcW w:type="dxa" w:w="3120"/>
            <w:shd w:fill="FFFFFF"/>
            <w:tcMar>
              <w:top w:w="60" w:type="dxa"/>
              <w:bottom w:w="60" w:type="dxa"/>
              <w:left w:w="100" w:type="dxa"/>
              <w:right w:w="100" w:type="dxa"/>
            </w:tcMar>
          </w:tcPr>
          <w:p>
            <w:r>
              <w:rPr>
                <w:rFonts w:ascii="Calibri" w:hAnsi="Calibri"/>
                <w:color w:val="334155"/>
                <w:sz w:val="18"/>
              </w:rPr>
              <w:t>61727973</w:t>
            </w:r>
          </w:p>
        </w:tc>
      </w:tr>
      <w:tr>
        <w:tc>
          <w:tcPr>
            <w:tcW w:type="dxa" w:w="3120"/>
            <w:shd w:fill="F8FAFC"/>
            <w:tcMar>
              <w:top w:w="60" w:type="dxa"/>
              <w:bottom w:w="60" w:type="dxa"/>
              <w:left w:w="100" w:type="dxa"/>
              <w:right w:w="100" w:type="dxa"/>
            </w:tcMar>
          </w:tcPr>
          <w:p>
            <w:r>
              <w:rPr>
                <w:rFonts w:ascii="Calibri" w:hAnsi="Calibri"/>
                <w:color w:val="0F172A"/>
                <w:sz w:val="18"/>
              </w:rPr>
              <w:t>YES ShareAMM</w:t>
            </w:r>
          </w:p>
        </w:tc>
        <w:tc>
          <w:tcPr>
            <w:tcW w:type="dxa" w:w="3120"/>
            <w:shd w:fill="F8FAFC"/>
            <w:tcMar>
              <w:top w:w="60" w:type="dxa"/>
              <w:bottom w:w="60" w:type="dxa"/>
              <w:left w:w="100" w:type="dxa"/>
              <w:right w:w="100" w:type="dxa"/>
            </w:tcMar>
          </w:tcPr>
          <w:p>
            <w:r>
              <w:rPr>
                <w:rFonts w:ascii="Calibri" w:hAnsi="Calibri"/>
                <w:color w:val="334155"/>
                <w:sz w:val="18"/>
              </w:rPr>
              <w:t>0xa6b29a7971dd8773dda804b98c1b348efd7ddf8a</w:t>
            </w:r>
          </w:p>
        </w:tc>
        <w:tc>
          <w:tcPr>
            <w:tcW w:type="dxa" w:w="3120"/>
            <w:shd w:fill="F8FAFC"/>
            <w:tcMar>
              <w:top w:w="60" w:type="dxa"/>
              <w:bottom w:w="60" w:type="dxa"/>
              <w:left w:w="100" w:type="dxa"/>
              <w:right w:w="100" w:type="dxa"/>
            </w:tcMar>
          </w:tcPr>
          <w:p>
            <w:r>
              <w:rPr>
                <w:rFonts w:ascii="Calibri" w:hAnsi="Calibri"/>
                <w:color w:val="334155"/>
                <w:sz w:val="18"/>
              </w:rPr>
              <w:t>61727978</w:t>
            </w:r>
          </w:p>
        </w:tc>
      </w:tr>
      <w:tr>
        <w:tc>
          <w:tcPr>
            <w:tcW w:type="dxa" w:w="3120"/>
            <w:shd w:fill="FFFFFF"/>
            <w:tcMar>
              <w:top w:w="60" w:type="dxa"/>
              <w:bottom w:w="60" w:type="dxa"/>
              <w:left w:w="100" w:type="dxa"/>
              <w:right w:w="100" w:type="dxa"/>
            </w:tcMar>
          </w:tcPr>
          <w:p>
            <w:r>
              <w:rPr>
                <w:rFonts w:ascii="Calibri" w:hAnsi="Calibri"/>
                <w:color w:val="0F172A"/>
                <w:sz w:val="18"/>
              </w:rPr>
              <w:t>NO ShareAMM</w:t>
            </w:r>
          </w:p>
        </w:tc>
        <w:tc>
          <w:tcPr>
            <w:tcW w:type="dxa" w:w="3120"/>
            <w:shd w:fill="FFFFFF"/>
            <w:tcMar>
              <w:top w:w="60" w:type="dxa"/>
              <w:bottom w:w="60" w:type="dxa"/>
              <w:left w:w="100" w:type="dxa"/>
              <w:right w:w="100" w:type="dxa"/>
            </w:tcMar>
          </w:tcPr>
          <w:p>
            <w:r>
              <w:rPr>
                <w:rFonts w:ascii="Calibri" w:hAnsi="Calibri"/>
                <w:color w:val="334155"/>
                <w:sz w:val="18"/>
              </w:rPr>
              <w:t>0xdeb8cda6be867bf903b74575c9b81d405a3a2ab5</w:t>
            </w:r>
          </w:p>
        </w:tc>
        <w:tc>
          <w:tcPr>
            <w:tcW w:type="dxa" w:w="3120"/>
            <w:shd w:fill="FFFFFF"/>
            <w:tcMar>
              <w:top w:w="60" w:type="dxa"/>
              <w:bottom w:w="60" w:type="dxa"/>
              <w:left w:w="100" w:type="dxa"/>
              <w:right w:w="100" w:type="dxa"/>
            </w:tcMar>
          </w:tcPr>
          <w:p>
            <w:r>
              <w:rPr>
                <w:rFonts w:ascii="Calibri" w:hAnsi="Calibri"/>
                <w:color w:val="334155"/>
                <w:sz w:val="18"/>
              </w:rPr>
              <w:t>61727981</w:t>
            </w:r>
          </w:p>
        </w:tc>
      </w:tr>
    </w:tbl>
    <w:p>
      <w:pPr>
        <w:spacing w:before="280" w:after="80"/>
      </w:pPr>
      <w:r>
        <w:rPr>
          <w:rFonts w:ascii="Calibri" w:hAnsi="Calibri"/>
          <w:b/>
          <w:color w:val="0284C7"/>
          <w:sz w:val="27"/>
        </w:rPr>
        <w:t>Audited Spending Reconciliation vs Approved Ceiling</w:t>
      </w:r>
    </w:p>
    <w:p>
      <w:pPr>
        <w:spacing w:before="0" w:after="120" w:line="276" w:lineRule="auto"/>
      </w:pPr>
      <w:r>
        <w:rPr>
          <w:rFonts w:ascii="Calibri" w:hAnsi="Calibri"/>
          <w:i w:val="0"/>
          <w:color w:val="334155"/>
          <w:sz w:val="21"/>
        </w:rPr>
        <w:t>Deployer wallet 0x7eCdBAe811359ee95Dae97213EbEB48E99af920d operated under an explicitly authorized hard cumulative spending ceiling of 180.000000 TEST-USDC across all historical and new activity:</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rFonts w:ascii="Calibri" w:hAnsi="Calibri"/>
                <w:b/>
                <w:color w:val="FFFFFF"/>
                <w:sz w:val="19"/>
              </w:rPr>
              <w:t>Activity</w:t>
            </w:r>
          </w:p>
        </w:tc>
        <w:tc>
          <w:tcPr>
            <w:tcW w:type="dxa" w:w="2340"/>
            <w:shd w:fill="0F172A"/>
            <w:tcMar>
              <w:top w:w="80" w:type="dxa"/>
              <w:bottom w:w="80" w:type="dxa"/>
              <w:left w:w="100" w:type="dxa"/>
              <w:right w:w="100" w:type="dxa"/>
            </w:tcMar>
          </w:tcPr>
          <w:p>
            <w:r>
              <w:rPr>
                <w:rFonts w:ascii="Calibri" w:hAnsi="Calibri"/>
                <w:b/>
                <w:color w:val="FFFFFF"/>
                <w:sz w:val="19"/>
              </w:rPr>
              <w:t>Collateral (USDC)</w:t>
            </w:r>
          </w:p>
        </w:tc>
        <w:tc>
          <w:tcPr>
            <w:tcW w:type="dxa" w:w="2340"/>
            <w:shd w:fill="0F172A"/>
            <w:tcMar>
              <w:top w:w="80" w:type="dxa"/>
              <w:bottom w:w="80" w:type="dxa"/>
              <w:left w:w="100" w:type="dxa"/>
              <w:right w:w="100" w:type="dxa"/>
            </w:tcMar>
          </w:tcPr>
          <w:p>
            <w:r>
              <w:rPr>
                <w:rFonts w:ascii="Calibri" w:hAnsi="Calibri"/>
                <w:b/>
                <w:color w:val="FFFFFF"/>
                <w:sz w:val="19"/>
              </w:rPr>
              <w:t>Gas (USDC)</w:t>
            </w:r>
          </w:p>
        </w:tc>
        <w:tc>
          <w:tcPr>
            <w:tcW w:type="dxa" w:w="2340"/>
            <w:shd w:fill="0F172A"/>
            <w:tcMar>
              <w:top w:w="80" w:type="dxa"/>
              <w:bottom w:w="80" w:type="dxa"/>
              <w:left w:w="100" w:type="dxa"/>
              <w:right w:w="100" w:type="dxa"/>
            </w:tcMar>
          </w:tcPr>
          <w:p>
            <w:r>
              <w:rPr>
                <w:rFonts w:ascii="Calibri" w:hAnsi="Calibri"/>
                <w:b/>
                <w:color w:val="FFFFFF"/>
                <w:sz w:val="19"/>
              </w:rPr>
              <w:t>Cumulative Total</w:t>
            </w:r>
          </w:p>
        </w:tc>
      </w:tr>
      <w:tr>
        <w:tc>
          <w:tcPr>
            <w:tcW w:type="dxa" w:w="2340"/>
            <w:shd w:fill="F8FAFC"/>
            <w:tcMar>
              <w:top w:w="60" w:type="dxa"/>
              <w:bottom w:w="60" w:type="dxa"/>
              <w:left w:w="100" w:type="dxa"/>
              <w:right w:w="100" w:type="dxa"/>
            </w:tcMar>
          </w:tcPr>
          <w:p>
            <w:r>
              <w:rPr>
                <w:rFonts w:ascii="Calibri" w:hAnsi="Calibri"/>
                <w:b w:val="0"/>
                <w:color w:val="334155"/>
                <w:sz w:val="18"/>
              </w:rPr>
              <w:t>Historical Demo Deployment</w:t>
            </w:r>
          </w:p>
        </w:tc>
        <w:tc>
          <w:tcPr>
            <w:tcW w:type="dxa" w:w="2340"/>
            <w:shd w:fill="F8FAFC"/>
            <w:tcMar>
              <w:top w:w="60" w:type="dxa"/>
              <w:bottom w:w="60" w:type="dxa"/>
              <w:left w:w="100" w:type="dxa"/>
              <w:right w:w="100" w:type="dxa"/>
            </w:tcMar>
          </w:tcPr>
          <w:p>
            <w:r>
              <w:rPr>
                <w:rFonts w:ascii="Calibri" w:hAnsi="Calibri"/>
                <w:b w:val="0"/>
                <w:color w:val="334155"/>
                <w:sz w:val="18"/>
              </w:rPr>
              <w:t>86.021000</w:t>
            </w:r>
          </w:p>
        </w:tc>
        <w:tc>
          <w:tcPr>
            <w:tcW w:type="dxa" w:w="2340"/>
            <w:shd w:fill="F8FAFC"/>
            <w:tcMar>
              <w:top w:w="60" w:type="dxa"/>
              <w:bottom w:w="60" w:type="dxa"/>
              <w:left w:w="100" w:type="dxa"/>
              <w:right w:w="100" w:type="dxa"/>
            </w:tcMar>
          </w:tcPr>
          <w:p>
            <w:r>
              <w:rPr>
                <w:rFonts w:ascii="Calibri" w:hAnsi="Calibri"/>
                <w:b w:val="0"/>
                <w:color w:val="334155"/>
                <w:sz w:val="18"/>
              </w:rPr>
              <w:t>0.322602</w:t>
            </w:r>
          </w:p>
        </w:tc>
        <w:tc>
          <w:tcPr>
            <w:tcW w:type="dxa" w:w="2340"/>
            <w:shd w:fill="F8FAFC"/>
            <w:tcMar>
              <w:top w:w="60" w:type="dxa"/>
              <w:bottom w:w="60" w:type="dxa"/>
              <w:left w:w="100" w:type="dxa"/>
              <w:right w:w="100" w:type="dxa"/>
            </w:tcMar>
          </w:tcPr>
          <w:p>
            <w:r>
              <w:rPr>
                <w:rFonts w:ascii="Calibri" w:hAnsi="Calibri"/>
                <w:b w:val="0"/>
                <w:color w:val="334155"/>
                <w:sz w:val="18"/>
              </w:rPr>
              <w:t>86.343602 USDC</w:t>
            </w:r>
          </w:p>
        </w:tc>
      </w:tr>
      <w:tr>
        <w:tc>
          <w:tcPr>
            <w:tcW w:type="dxa" w:w="2340"/>
            <w:shd w:fill="FFFFFF"/>
            <w:tcMar>
              <w:top w:w="60" w:type="dxa"/>
              <w:bottom w:w="60" w:type="dxa"/>
              <w:left w:w="100" w:type="dxa"/>
              <w:right w:w="100" w:type="dxa"/>
            </w:tcMar>
          </w:tcPr>
          <w:p>
            <w:r>
              <w:rPr>
                <w:rFonts w:ascii="Calibri" w:hAnsi="Calibri"/>
                <w:b w:val="0"/>
                <w:color w:val="334155"/>
                <w:sz w:val="18"/>
              </w:rPr>
              <w:t>Submission Market Deployment</w:t>
            </w:r>
          </w:p>
        </w:tc>
        <w:tc>
          <w:tcPr>
            <w:tcW w:type="dxa" w:w="2340"/>
            <w:shd w:fill="FFFFFF"/>
            <w:tcMar>
              <w:top w:w="60" w:type="dxa"/>
              <w:bottom w:w="60" w:type="dxa"/>
              <w:left w:w="100" w:type="dxa"/>
              <w:right w:w="100" w:type="dxa"/>
            </w:tcMar>
          </w:tcPr>
          <w:p>
            <w:r>
              <w:rPr>
                <w:rFonts w:ascii="Calibri" w:hAnsi="Calibri"/>
                <w:b w:val="0"/>
                <w:color w:val="334155"/>
                <w:sz w:val="18"/>
              </w:rPr>
              <w:t>86.021000</w:t>
            </w:r>
          </w:p>
        </w:tc>
        <w:tc>
          <w:tcPr>
            <w:tcW w:type="dxa" w:w="2340"/>
            <w:shd w:fill="FFFFFF"/>
            <w:tcMar>
              <w:top w:w="60" w:type="dxa"/>
              <w:bottom w:w="60" w:type="dxa"/>
              <w:left w:w="100" w:type="dxa"/>
              <w:right w:w="100" w:type="dxa"/>
            </w:tcMar>
          </w:tcPr>
          <w:p>
            <w:r>
              <w:rPr>
                <w:rFonts w:ascii="Calibri" w:hAnsi="Calibri"/>
                <w:b w:val="0"/>
                <w:color w:val="334155"/>
                <w:sz w:val="18"/>
              </w:rPr>
              <w:t>0.336542</w:t>
            </w:r>
          </w:p>
        </w:tc>
        <w:tc>
          <w:tcPr>
            <w:tcW w:type="dxa" w:w="2340"/>
            <w:shd w:fill="FFFFFF"/>
            <w:tcMar>
              <w:top w:w="60" w:type="dxa"/>
              <w:bottom w:w="60" w:type="dxa"/>
              <w:left w:w="100" w:type="dxa"/>
              <w:right w:w="100" w:type="dxa"/>
            </w:tcMar>
          </w:tcPr>
          <w:p>
            <w:r>
              <w:rPr>
                <w:rFonts w:ascii="Calibri" w:hAnsi="Calibri"/>
                <w:b w:val="0"/>
                <w:color w:val="334155"/>
                <w:sz w:val="18"/>
              </w:rPr>
              <w:t>172.701144 USDC</w:t>
            </w:r>
          </w:p>
        </w:tc>
      </w:tr>
      <w:tr>
        <w:tc>
          <w:tcPr>
            <w:tcW w:type="dxa" w:w="2340"/>
            <w:shd w:fill="F8FAFC"/>
            <w:tcMar>
              <w:top w:w="60" w:type="dxa"/>
              <w:bottom w:w="60" w:type="dxa"/>
              <w:left w:w="100" w:type="dxa"/>
              <w:right w:w="100" w:type="dxa"/>
            </w:tcMar>
          </w:tcPr>
          <w:p>
            <w:r>
              <w:rPr>
                <w:rFonts w:ascii="Calibri" w:hAnsi="Calibri"/>
                <w:b w:val="0"/>
                <w:color w:val="334155"/>
                <w:sz w:val="18"/>
              </w:rPr>
              <w:t>Live Demonstration Trade</w:t>
            </w:r>
          </w:p>
        </w:tc>
        <w:tc>
          <w:tcPr>
            <w:tcW w:type="dxa" w:w="2340"/>
            <w:shd w:fill="F8FAFC"/>
            <w:tcMar>
              <w:top w:w="60" w:type="dxa"/>
              <w:bottom w:w="60" w:type="dxa"/>
              <w:left w:w="100" w:type="dxa"/>
              <w:right w:w="100" w:type="dxa"/>
            </w:tcMar>
          </w:tcPr>
          <w:p>
            <w:r>
              <w:rPr>
                <w:rFonts w:ascii="Calibri" w:hAnsi="Calibri"/>
                <w:b w:val="0"/>
                <w:color w:val="334155"/>
                <w:sz w:val="18"/>
              </w:rPr>
              <w:t>1.000000</w:t>
            </w:r>
          </w:p>
        </w:tc>
        <w:tc>
          <w:tcPr>
            <w:tcW w:type="dxa" w:w="2340"/>
            <w:shd w:fill="F8FAFC"/>
            <w:tcMar>
              <w:top w:w="60" w:type="dxa"/>
              <w:bottom w:w="60" w:type="dxa"/>
              <w:left w:w="100" w:type="dxa"/>
              <w:right w:w="100" w:type="dxa"/>
            </w:tcMar>
          </w:tcPr>
          <w:p>
            <w:r>
              <w:rPr>
                <w:rFonts w:ascii="Calibri" w:hAnsi="Calibri"/>
                <w:b w:val="0"/>
                <w:color w:val="334155"/>
                <w:sz w:val="18"/>
              </w:rPr>
              <w:t>0.005998</w:t>
            </w:r>
          </w:p>
        </w:tc>
        <w:tc>
          <w:tcPr>
            <w:tcW w:type="dxa" w:w="2340"/>
            <w:shd w:fill="F8FAFC"/>
            <w:tcMar>
              <w:top w:w="60" w:type="dxa"/>
              <w:bottom w:w="60" w:type="dxa"/>
              <w:left w:w="100" w:type="dxa"/>
              <w:right w:w="100" w:type="dxa"/>
            </w:tcMar>
          </w:tcPr>
          <w:p>
            <w:r>
              <w:rPr>
                <w:rFonts w:ascii="Calibri" w:hAnsi="Calibri"/>
                <w:b w:val="0"/>
                <w:color w:val="334155"/>
                <w:sz w:val="18"/>
              </w:rPr>
              <w:t>173.707142 USDC</w:t>
            </w:r>
          </w:p>
        </w:tc>
      </w:tr>
      <w:tr>
        <w:tc>
          <w:tcPr>
            <w:tcW w:type="dxa" w:w="2340"/>
            <w:shd w:fill="DCFCE7"/>
            <w:tcMar>
              <w:top w:w="60" w:type="dxa"/>
              <w:bottom w:w="60" w:type="dxa"/>
              <w:left w:w="100" w:type="dxa"/>
              <w:right w:w="100" w:type="dxa"/>
            </w:tcMar>
          </w:tcPr>
          <w:p>
            <w:r>
              <w:rPr>
                <w:rFonts w:ascii="Calibri" w:hAnsi="Calibri"/>
                <w:b/>
                <w:color w:val="059669"/>
                <w:sz w:val="18"/>
              </w:rPr>
              <w:t>FINAL VERIFIED SPEND</w:t>
            </w:r>
          </w:p>
        </w:tc>
        <w:tc>
          <w:tcPr>
            <w:tcW w:type="dxa" w:w="2340"/>
            <w:shd w:fill="DCFCE7"/>
            <w:tcMar>
              <w:top w:w="60" w:type="dxa"/>
              <w:bottom w:w="60" w:type="dxa"/>
              <w:left w:w="100" w:type="dxa"/>
              <w:right w:w="100" w:type="dxa"/>
            </w:tcMar>
          </w:tcPr>
          <w:p>
            <w:r>
              <w:rPr>
                <w:rFonts w:ascii="Calibri" w:hAnsi="Calibri"/>
                <w:b/>
                <w:color w:val="059669"/>
                <w:sz w:val="18"/>
              </w:rPr>
              <w:t>173.042000</w:t>
            </w:r>
          </w:p>
        </w:tc>
        <w:tc>
          <w:tcPr>
            <w:tcW w:type="dxa" w:w="2340"/>
            <w:shd w:fill="DCFCE7"/>
            <w:tcMar>
              <w:top w:w="60" w:type="dxa"/>
              <w:bottom w:w="60" w:type="dxa"/>
              <w:left w:w="100" w:type="dxa"/>
              <w:right w:w="100" w:type="dxa"/>
            </w:tcMar>
          </w:tcPr>
          <w:p>
            <w:r>
              <w:rPr>
                <w:rFonts w:ascii="Calibri" w:hAnsi="Calibri"/>
                <w:b/>
                <w:color w:val="059669"/>
                <w:sz w:val="18"/>
              </w:rPr>
              <w:t>0.665142</w:t>
            </w:r>
          </w:p>
        </w:tc>
        <w:tc>
          <w:tcPr>
            <w:tcW w:type="dxa" w:w="2340"/>
            <w:shd w:fill="DCFCE7"/>
            <w:tcMar>
              <w:top w:w="60" w:type="dxa"/>
              <w:bottom w:w="60" w:type="dxa"/>
              <w:left w:w="100" w:type="dxa"/>
              <w:right w:w="100" w:type="dxa"/>
            </w:tcMar>
          </w:tcPr>
          <w:p>
            <w:r>
              <w:rPr>
                <w:rFonts w:ascii="Calibri" w:hAnsi="Calibri"/>
                <w:b/>
                <w:color w:val="059669"/>
                <w:sz w:val="18"/>
              </w:rPr>
              <w:t>173.707142 USDC &lt;= 180.000000 CEILING</w:t>
            </w:r>
          </w:p>
        </w:tc>
      </w:tr>
    </w:tbl>
    <w:p>
      <w:pPr>
        <w:spacing w:before="0" w:after="120" w:line="276" w:lineRule="auto"/>
      </w:pPr>
      <w:r>
        <w:rPr>
          <w:rFonts w:ascii="Calibri" w:hAnsi="Calibri"/>
          <w:i w:val="0"/>
          <w:color w:val="334155"/>
          <w:sz w:val="21"/>
        </w:rPr>
        <w:t>Remaining authorized headroom: 6.292858 TEST-USDC. Confirmed remaining wallet balance: 22.292857 TEST-USDC. Verified token holdings in designated wallet: 11.9036 tYES, 10.0000 tNO, and 0.1000 R.</w:t>
      </w:r>
    </w:p>
    <w:p>
      <w:pPr>
        <w:spacing w:before="360" w:after="120"/>
      </w:pPr>
      <w:r>
        <w:rPr>
          <w:rFonts w:ascii="Calibri" w:hAnsi="Calibri"/>
          <w:b/>
          <w:color w:val="0F172A"/>
          <w:sz w:val="36"/>
        </w:rPr>
        <w:t>6. Spoken-Word Video Demo Script (2m 30s Target)</w:t>
      </w:r>
    </w:p>
    <w:p>
      <w:pPr>
        <w:spacing w:before="0" w:after="120" w:line="276" w:lineRule="auto"/>
      </w:pPr>
      <w:r>
        <w:rPr>
          <w:rFonts w:ascii="Calibri" w:hAnsi="Calibri"/>
          <w:i w:val="0"/>
          <w:color w:val="334155"/>
          <w:sz w:val="21"/>
        </w:rPr>
        <w:t>The following script is calibrated for a conversational, natural 130-140 words-per-minute delivery. It includes visual transition markers and action cues matching the canonical ETHGlobal video demo format.</w:t>
      </w:r>
    </w:p>
    <w:p>
      <w:pPr>
        <w:spacing w:before="280" w:after="80"/>
      </w:pPr>
      <w:r>
        <w:rPr>
          <w:rFonts w:ascii="Calibri" w:hAnsi="Calibri"/>
          <w:b/>
          <w:color w:val="0284C7"/>
          <w:sz w:val="27"/>
        </w:rPr>
        <w:t>[0:00 - 0:25] The Hook &amp; Problem</w:t>
      </w:r>
    </w:p>
    <w:p>
      <w:pPr>
        <w:spacing w:before="0" w:after="120" w:line="276" w:lineRule="auto"/>
      </w:pPr>
      <w:r>
        <w:rPr>
          <w:rFonts w:ascii="Calibri" w:hAnsi="Calibri"/>
          <w:i/>
          <w:color w:val="334155"/>
          <w:sz w:val="21"/>
        </w:rPr>
        <w:t>Visual Cue: Display Slide 1 &amp; Slide 2</w:t>
      </w:r>
    </w:p>
    <w:p>
      <w:pPr>
        <w:spacing w:before="0" w:after="120" w:line="276" w:lineRule="auto"/>
      </w:pPr>
      <w:r>
        <w:rPr>
          <w:rFonts w:ascii="Calibri" w:hAnsi="Calibri"/>
          <w:i w:val="0"/>
          <w:color w:val="334155"/>
          <w:sz w:val="21"/>
        </w:rPr>
        <w:t>Hi everyone, I'm excited to present THELEMA — a platform designed to let you trade the real-world impact of events, not just the odds.</w:t>
        <w:br/>
        <w:br/>
        <w:t>Today, prediction markets like Polymarket tell you whether an event will happen — for example, 'there is a 55% chance the US allows advanced AI chip exports to China.'</w:t>
        <w:br/>
        <w:br/>
        <w:t>But if you're an investor, an engineer, or a treasury manager, the probability alone doesn't tell you the whole story. What you actually need to know is: what does that decision do to the price of your assets? Until now, there was no on-chain market to directly price or hedge that conditional impact.</w:t>
      </w:r>
    </w:p>
    <w:p>
      <w:pPr>
        <w:spacing w:before="280" w:after="80"/>
      </w:pPr>
      <w:r>
        <w:rPr>
          <w:rFonts w:ascii="Calibri" w:hAnsi="Calibri"/>
          <w:b/>
          <w:color w:val="0284C7"/>
          <w:sz w:val="27"/>
        </w:rPr>
        <w:t>[0:25 - 0:55] The Solution &amp; Math</w:t>
      </w:r>
    </w:p>
    <w:p>
      <w:pPr>
        <w:spacing w:before="0" w:after="120" w:line="276" w:lineRule="auto"/>
      </w:pPr>
      <w:r>
        <w:rPr>
          <w:rFonts w:ascii="Calibri" w:hAnsi="Calibri"/>
          <w:i/>
          <w:color w:val="334155"/>
          <w:sz w:val="21"/>
        </w:rPr>
        <w:t>Visual Cue: Display Slide 3</w:t>
      </w:r>
    </w:p>
    <w:p>
      <w:pPr>
        <w:spacing w:before="0" w:after="120" w:line="276" w:lineRule="auto"/>
      </w:pPr>
      <w:r>
        <w:rPr>
          <w:rFonts w:ascii="Calibri" w:hAnsi="Calibri"/>
          <w:i w:val="0"/>
          <w:color w:val="334155"/>
          <w:sz w:val="21"/>
        </w:rPr>
        <w:t>THELEMA solves this with conditional synthetic impact markets. Instead of just betting YES or NO, THELEMA creates two parallel pricing worlds:</w:t>
        <w:br/>
        <w:t>• Asset if YES: The expected price of Nvidia if chip sales are approved ($212.92).</w:t>
        <w:br/>
        <w:t>• Asset if NO: The expected price if they remain restricted ($96.46).</w:t>
        <w:br/>
        <w:br/>
        <w:t>From our AMM pool reserves, our contracts continuously calculate the probability (54.7%), the two conditional asset values, and the net conditional impact (+ $116.47).</w:t>
        <w:br/>
        <w:br/>
        <w:t>To guarantee mathematical solvency, our vaults require complete sets: depositing collateral mints a YES token, a NO token, and a residual claim token (R) capped at $500 per unit, ensuring the protocol is 100% collateralized at all times.</w:t>
      </w:r>
    </w:p>
    <w:p>
      <w:pPr>
        <w:spacing w:before="280" w:after="80"/>
      </w:pPr>
      <w:r>
        <w:rPr>
          <w:rFonts w:ascii="Calibri" w:hAnsi="Calibri"/>
          <w:b/>
          <w:color w:val="0284C7"/>
          <w:sz w:val="27"/>
        </w:rPr>
        <w:t>[0:55 - 1:40] Live Walkthrough &amp; Arc Integration</w:t>
      </w:r>
    </w:p>
    <w:p>
      <w:pPr>
        <w:spacing w:before="0" w:after="120" w:line="276" w:lineRule="auto"/>
      </w:pPr>
      <w:r>
        <w:rPr>
          <w:rFonts w:ascii="Calibri" w:hAnsi="Calibri"/>
          <w:i/>
          <w:color w:val="334155"/>
          <w:sz w:val="21"/>
        </w:rPr>
        <w:t>Visual Cue: Switch screen to live browser at thelema.onrender.com (or Slide 5 &amp; 6)</w:t>
      </w:r>
    </w:p>
    <w:p>
      <w:pPr>
        <w:spacing w:before="0" w:after="120" w:line="276" w:lineRule="auto"/>
      </w:pPr>
      <w:r>
        <w:rPr>
          <w:rFonts w:ascii="Calibri" w:hAnsi="Calibri"/>
          <w:i w:val="0"/>
          <w:color w:val="334155"/>
          <w:sz w:val="21"/>
        </w:rPr>
        <w:t>Let's look at the live deployment on Arc Testnet. Here on the market page, we are pricing the question: 'Will the US allow advanced AI chip sales to China by December 31st, 2026?'</w:t>
        <w:br/>
        <w:br/>
        <w:t>The market is active with an on-chain cutoff of January 1st, 2027. All six of our smart contracts are deployed natively on Arc Testnet, utilizing Arc's native USDC precompile at address 0x3600... directly for both gas and collateral.</w:t>
        <w:br/>
        <w:br/>
        <w:t>When we connect our Web3 wallet and review a trade — for example, swapping 1 USDC for YES event shares — the AMM quotes an exact 30 basis point fee and minimum received tokens.</w:t>
        <w:br/>
        <w:br/>
        <w:t>We executed this live demonstration trade on Arc Testnet, and as verified on Arcscan at block 61728406, 1 USDC was deposited and 1.90 outcome tokens were minted directly to our wallet.</w:t>
      </w:r>
    </w:p>
    <w:p>
      <w:pPr>
        <w:spacing w:before="280" w:after="80"/>
      </w:pPr>
      <w:r>
        <w:rPr>
          <w:rFonts w:ascii="Calibri" w:hAnsi="Calibri"/>
          <w:b/>
          <w:color w:val="0284C7"/>
          <w:sz w:val="27"/>
        </w:rPr>
        <w:t>[1:40 - 2:15] Sponsor Integrations: The Graph &amp; CRE</w:t>
      </w:r>
    </w:p>
    <w:p>
      <w:pPr>
        <w:spacing w:before="0" w:after="120" w:line="276" w:lineRule="auto"/>
      </w:pPr>
      <w:r>
        <w:rPr>
          <w:rFonts w:ascii="Calibri" w:hAnsi="Calibri"/>
          <w:i/>
          <w:color w:val="334155"/>
          <w:sz w:val="21"/>
        </w:rPr>
        <w:t>Visual Cue: Show The Graph panel on screen / Slide 4</w:t>
      </w:r>
    </w:p>
    <w:p>
      <w:pPr>
        <w:spacing w:before="0" w:after="120" w:line="276" w:lineRule="auto"/>
      </w:pPr>
      <w:r>
        <w:rPr>
          <w:rFonts w:ascii="Calibri" w:hAnsi="Calibri"/>
          <w:i w:val="0"/>
          <w:color w:val="334155"/>
          <w:sz w:val="21"/>
        </w:rPr>
        <w:t>Next, our sponsor integrations:</w:t>
        <w:br/>
        <w:br/>
        <w:t>For The Graph, we built an automated cross-protocol consensus engine. Using The Graph's decentralized gateway, we query both Uniswap V3 and SushiSwap pools on Arbitrum One using the standardized Messari DEX schema. The engine tracks prices in real time and verifies that both protocols agree within a tight 0.25% spread, providing an independent reference check without leaking private API keys to the browser.</w:t>
        <w:br/>
        <w:br/>
        <w:t>For Chainlink, we designed a Confidential Runtime Environment (CRE) workflow to protect order sizes and eliminate front-running and MEV. The clipping policy is written in pure TypeScript and compiled to a standalone WebAssembly module, tested end-to-end using the official Chainlink CRE CLI simulator.</w:t>
      </w:r>
    </w:p>
    <w:p>
      <w:pPr>
        <w:spacing w:before="280" w:after="80"/>
      </w:pPr>
      <w:r>
        <w:rPr>
          <w:rFonts w:ascii="Calibri" w:hAnsi="Calibri"/>
          <w:b/>
          <w:color w:val="0284C7"/>
          <w:sz w:val="27"/>
        </w:rPr>
        <w:t>[2:15 - 2:40] Conclusion &amp; Wrap-Up</w:t>
      </w:r>
    </w:p>
    <w:p>
      <w:pPr>
        <w:spacing w:before="0" w:after="120" w:line="276" w:lineRule="auto"/>
      </w:pPr>
      <w:r>
        <w:rPr>
          <w:rFonts w:ascii="Calibri" w:hAnsi="Calibri"/>
          <w:i/>
          <w:color w:val="334155"/>
          <w:sz w:val="21"/>
        </w:rPr>
        <w:t>Visual Cue: Display Slide 7</w:t>
      </w:r>
    </w:p>
    <w:p>
      <w:pPr>
        <w:spacing w:before="0" w:after="120" w:line="276" w:lineRule="auto"/>
      </w:pPr>
      <w:r>
        <w:rPr>
          <w:rFonts w:ascii="Calibri" w:hAnsi="Calibri"/>
          <w:i w:val="0"/>
          <w:color w:val="334155"/>
          <w:sz w:val="21"/>
        </w:rPr>
        <w:t>To wrap up:</w:t>
        <w:br/>
        <w:t>• THELEMA is open-source and backed by 238 unit tests, 24 Foundry invariant tests, and full CI validation.</w:t>
        <w:br/>
        <w:t>• The application is live at thelema.onrender.com, and contracts are active on Arc Testnet.</w:t>
        <w:br/>
        <w:br/>
        <w:t>THELEMA moves DeFi beyond binary gambling into true, quantitative impact markets. Thank you!</w:t>
      </w:r>
    </w:p>
    <w:p>
      <w:pPr>
        <w:spacing w:before="360" w:after="120"/>
      </w:pPr>
      <w:r>
        <w:rPr>
          <w:rFonts w:ascii="Calibri" w:hAnsi="Calibri"/>
          <w:b/>
          <w:color w:val="0F172A"/>
          <w:sz w:val="36"/>
        </w:rPr>
        <w:t>7. Anticipated Judge Questions &amp; Technical Defense</w:t>
      </w:r>
    </w:p>
    <w:p>
      <w:pPr>
        <w:spacing w:before="280" w:after="80"/>
      </w:pPr>
      <w:r>
        <w:rPr>
          <w:rFonts w:ascii="Calibri" w:hAnsi="Calibri"/>
          <w:b/>
          <w:color w:val="0284C7"/>
          <w:sz w:val="27"/>
        </w:rPr>
        <w:t>Q1: How do you guarantee the protocol never becomes insolvent if the oracle index spikes to $10,000?</w:t>
      </w:r>
    </w:p>
    <w:p>
      <w:pPr>
        <w:spacing w:before="0" w:after="120" w:line="276" w:lineRule="auto"/>
      </w:pPr>
      <w:r>
        <w:rPr>
          <w:rFonts w:ascii="Calibri" w:hAnsi="Calibri"/>
          <w:i w:val="0"/>
          <w:color w:val="334155"/>
          <w:sz w:val="21"/>
        </w:rPr>
        <w:t>Every market operates under a strict mathematical payout cap (standard $500.00). Minting 1 unit of complete sets requires exactly $500.00 in USDC collateral. At settlement, winning asset shares receive min(reported_index, cap), while the residual token (R) receives max(0, cap − min(reported_index, cap)). The sum of payouts is strictly invariant and equals the exact collateral deposited. Spikes above the cap are absorbed by the capped payoff curve.</w:t>
      </w:r>
    </w:p>
    <w:p>
      <w:pPr>
        <w:spacing w:before="280" w:after="80"/>
      </w:pPr>
      <w:r>
        <w:rPr>
          <w:rFonts w:ascii="Calibri" w:hAnsi="Calibri"/>
          <w:b/>
          <w:color w:val="0284C7"/>
          <w:sz w:val="27"/>
        </w:rPr>
        <w:t>Q2: Why not just use existing binary prediction markets?</w:t>
      </w:r>
    </w:p>
    <w:p>
      <w:pPr>
        <w:spacing w:before="0" w:after="120" w:line="276" w:lineRule="auto"/>
      </w:pPr>
      <w:r>
        <w:rPr>
          <w:rFonts w:ascii="Calibri" w:hAnsi="Calibri"/>
          <w:i w:val="0"/>
          <w:color w:val="334155"/>
          <w:sz w:val="21"/>
        </w:rPr>
        <w:t>Binary prediction markets cannot price conditional asset impact. A 55% probability on Polymarket tells you nothing about how semiconductor supply chains or equity prices will react. THELEMA enables direct financial hedging of policy decisions by creating synthetic conditional asset shares (sNVDA|YES vs. sNVDA|NO).</w:t>
      </w:r>
    </w:p>
    <w:p>
      <w:pPr>
        <w:spacing w:before="280" w:after="80"/>
      </w:pPr>
      <w:r>
        <w:rPr>
          <w:rFonts w:ascii="Calibri" w:hAnsi="Calibri"/>
          <w:b/>
          <w:color w:val="0284C7"/>
          <w:sz w:val="27"/>
        </w:rPr>
        <w:t>Q3: What makes your Arc integration stablecoin-native?</w:t>
      </w:r>
    </w:p>
    <w:p>
      <w:pPr>
        <w:spacing w:before="0" w:after="120" w:line="276" w:lineRule="auto"/>
      </w:pPr>
      <w:r>
        <w:rPr>
          <w:rFonts w:ascii="Calibri" w:hAnsi="Calibri"/>
          <w:i w:val="0"/>
          <w:color w:val="334155"/>
          <w:sz w:val="21"/>
        </w:rPr>
        <w:t>Instead of deploying custom wrapped tokens or relying on third-party ERC20 bridges, THELEMA uses Arc's native USDC precompile (0x3600000000000000000000000000000000000000) for both gas fees and market collateral. All contract balances, splits, merges, and AMM swaps execute natively at 6 decimal places with zero wrapping friction.</w:t>
      </w:r>
    </w:p>
    <w:p>
      <w:pPr>
        <w:spacing w:before="280" w:after="80"/>
      </w:pPr>
      <w:r>
        <w:rPr>
          <w:rFonts w:ascii="Calibri" w:hAnsi="Calibri"/>
          <w:b/>
          <w:color w:val="0284C7"/>
          <w:sz w:val="27"/>
        </w:rPr>
        <w:t>Q4: How does The Graph integration differ from standard subgraph queries?</w:t>
      </w:r>
    </w:p>
    <w:p>
      <w:pPr>
        <w:spacing w:before="0" w:after="120" w:line="276" w:lineRule="auto"/>
      </w:pPr>
      <w:r>
        <w:rPr>
          <w:rFonts w:ascii="Calibri" w:hAnsi="Calibri"/>
          <w:i w:val="0"/>
          <w:color w:val="334155"/>
          <w:sz w:val="21"/>
        </w:rPr>
        <w:t>THELEMA implements a multi-protocol consensus mechanism using the standardized Messari DEX AMM schema. Rather than trusting a single pool, it queries Uniswap V3 and SushiSwap pools simultaneously through The Graph's decentralized gateway, requiring both to agree within a 1.5% maximum spread bound before certifying reference consistency.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