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147D72"/>
          <w:sz w:val="18"/>
        </w:rPr>
        <w:t>PROJECT OVERVIEW  /  ANALYTICS</w:t>
      </w:r>
    </w:p>
    <w:p>
      <w:pPr>
        <w:pStyle w:val="Title"/>
      </w:pPr>
      <w:r>
        <w:t>Credit Risk and Loan Performance Analysis</w:t>
      </w:r>
    </w:p>
    <w:p>
      <w:pPr>
        <w:spacing w:after="240"/>
      </w:pPr>
      <w:r>
        <w:rPr>
          <w:color w:val="63758A"/>
          <w:sz w:val="26"/>
        </w:rPr>
        <w:t>End-to-end synthetic portfolio analytics project</w:t>
      </w:r>
    </w:p>
    <w:p>
      <w:pPr>
        <w:pStyle w:val="Heading1"/>
      </w:pPr>
      <w:r>
        <w:t>Project summary</w:t>
      </w:r>
    </w:p>
    <w:p>
      <w:r>
        <w:t>This project builds a repeatable credit-risk workflow using 12,000 computer-generated installment-loan records. It creates the data, analyzes default and loss patterns, trains an interpretable logistic regression, evaluates it on later origination dates, and produces a standalone dashboard. All loans and outcomes are fictional; the performance metrics describe this designed example only.</w:t>
      </w:r>
    </w:p>
    <w:tbl>
      <w:tblPr>
        <w:tblW w:type="auto" w:w="0"/>
        <w:jc w:val="center"/>
        <w:tblLayout w:type="autofit"/>
        <w:tblLook w:firstColumn="1" w:firstRow="1" w:lastColumn="0" w:lastRow="0" w:noHBand="0" w:noVBand="1" w:val="04A0"/>
      </w:tblPr>
      <w:tblGrid>
        <w:gridCol w:w="2498"/>
        <w:gridCol w:w="2498"/>
        <w:gridCol w:w="2498"/>
        <w:gridCol w:w="2498"/>
      </w:tblGrid>
      <w:tr>
        <w:tc>
          <w:tcPr>
            <w:tcW w:type="dxa" w:w="2498"/>
            <w:shd w:fill="EAF3F5"/>
          </w:tcPr>
          <w:p>
            <w:pPr>
              <w:spacing w:after="20"/>
              <w:jc w:val="center"/>
            </w:pPr>
            <w:r/>
            <w:r>
              <w:rPr>
                <w:b/>
                <w:color w:val="147D72"/>
                <w:sz w:val="32"/>
              </w:rPr>
              <w:t>12,000</w:t>
              <w:br/>
            </w:r>
            <w:r>
              <w:rPr>
                <w:color w:val="52657B"/>
                <w:sz w:val="16"/>
              </w:rPr>
              <w:t>synthetic loans</w:t>
            </w:r>
          </w:p>
        </w:tc>
        <w:tc>
          <w:tcPr>
            <w:tcW w:type="dxa" w:w="2498"/>
            <w:shd w:fill="EAF3F5"/>
          </w:tcPr>
          <w:p>
            <w:pPr>
              <w:spacing w:after="20"/>
              <w:jc w:val="center"/>
            </w:pPr>
            <w:r/>
            <w:r>
              <w:rPr>
                <w:b/>
                <w:color w:val="147D72"/>
                <w:sz w:val="32"/>
              </w:rPr>
              <w:t>17.4%</w:t>
              <w:br/>
            </w:r>
            <w:r>
              <w:rPr>
                <w:color w:val="52657B"/>
                <w:sz w:val="16"/>
              </w:rPr>
              <w:t>overall simulated default rate</w:t>
            </w:r>
          </w:p>
        </w:tc>
        <w:tc>
          <w:tcPr>
            <w:tcW w:type="dxa" w:w="2498"/>
            <w:shd w:fill="EAF3F5"/>
          </w:tcPr>
          <w:p>
            <w:pPr>
              <w:spacing w:after="20"/>
              <w:jc w:val="center"/>
            </w:pPr>
            <w:r/>
            <w:r>
              <w:rPr>
                <w:b/>
                <w:color w:val="147D72"/>
                <w:sz w:val="32"/>
              </w:rPr>
              <w:t>0.786</w:t>
              <w:br/>
            </w:r>
            <w:r>
              <w:rPr>
                <w:color w:val="52657B"/>
                <w:sz w:val="16"/>
              </w:rPr>
              <w:t>out-of-time ROC-AUC</w:t>
            </w:r>
          </w:p>
        </w:tc>
        <w:tc>
          <w:tcPr>
            <w:tcW w:type="dxa" w:w="2498"/>
            <w:shd w:fill="EAF3F5"/>
          </w:tcPr>
          <w:p>
            <w:pPr>
              <w:spacing w:after="20"/>
              <w:jc w:val="center"/>
            </w:pPr>
            <w:r/>
            <w:r>
              <w:rPr>
                <w:b/>
                <w:color w:val="147D72"/>
                <w:sz w:val="32"/>
              </w:rPr>
              <w:t>0.116</w:t>
              <w:br/>
            </w:r>
            <w:r>
              <w:rPr>
                <w:color w:val="52657B"/>
                <w:sz w:val="16"/>
              </w:rPr>
              <w:t>out-of-time Brier score</w:t>
            </w:r>
          </w:p>
        </w:tc>
      </w:tr>
    </w:tbl>
    <w:p>
      <w:pPr>
        <w:pStyle w:val="Heading1"/>
      </w:pPr>
      <w:r>
        <w:t>What the workflow does</w:t>
      </w:r>
    </w:p>
    <w:p>
      <w:pPr>
        <w:pStyle w:val="ListBullet"/>
        <w:spacing w:after="60"/>
      </w:pPr>
      <w:r>
        <w:t>Generates a deterministic portfolio of 12,000 fictional loans with a fixed random seed and a clearly defined 12-month 90+ days-past-due outcome.</w:t>
      </w:r>
    </w:p>
    <w:p>
      <w:pPr>
        <w:pStyle w:val="ListBullet"/>
        <w:spacing w:after="60"/>
      </w:pPr>
      <w:r>
        <w:t>Compares default incidence, pricing, principal, charge-offs, recoveries, and net loss across risk grades, terms, and monthly origination vintages.</w:t>
      </w:r>
    </w:p>
    <w:p>
      <w:pPr>
        <w:pStyle w:val="ListBullet"/>
        <w:spacing w:after="60"/>
      </w:pPr>
      <w:r>
        <w:t>Fits regularized logistic regression using nine application-time features and reserves the latest dates for out-of-time validation.</w:t>
      </w:r>
    </w:p>
    <w:p>
      <w:pPr>
        <w:pStyle w:val="ListBullet"/>
        <w:spacing w:after="60"/>
      </w:pPr>
      <w:r>
        <w:t>Reports discrimination, probability calibration, score-band performance, cutoff sensitivity, coefficient associations, and feature population stability screening.</w:t>
      </w:r>
    </w:p>
    <w:p>
      <w:pPr>
        <w:pStyle w:val="ListBullet"/>
        <w:spacing w:after="60"/>
      </w:pPr>
      <w:r>
        <w:t>Writes a responsive HTML dashboard and analysis tables without external data services or dashboard libraries.</w:t>
      </w:r>
    </w:p>
    <w:p>
      <w:pPr>
        <w:pStyle w:val="Heading1"/>
      </w:pPr>
      <w:r>
        <w:t>Validation snapshot</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
              <w:rPr>
                <w:rFonts w:ascii="Aptos" w:hAnsi="Aptos"/>
                <w:b/>
                <w:color w:val="12243A"/>
                <w:sz w:val="18"/>
              </w:rPr>
              <w:t>Holdout window</w:t>
            </w:r>
          </w:p>
        </w:tc>
        <w:tc>
          <w:tcPr>
            <w:tcW w:type="dxa" w:w="4997"/>
            <w:vAlign w:val="center"/>
          </w:tcPr>
          <w:p>
            <w:pPr>
              <w:spacing w:after="40"/>
            </w:pPr>
            <w:r/>
            <w:r>
              <w:rPr>
                <w:rFonts w:ascii="Aptos" w:hAnsi="Aptos"/>
                <w:b w:val="0"/>
                <w:color w:val="30445C"/>
                <w:sz w:val="18"/>
              </w:rPr>
              <w:t>2023-10-19 to 2024-06-30</w:t>
            </w:r>
          </w:p>
        </w:tc>
      </w:tr>
      <w:tr>
        <w:tc>
          <w:tcPr>
            <w:tcW w:type="dxa" w:w="4997"/>
            <w:vAlign w:val="center"/>
          </w:tcPr>
          <w:p>
            <w:pPr>
              <w:spacing w:after="40"/>
            </w:pPr>
            <w:r/>
            <w:r>
              <w:rPr>
                <w:rFonts w:ascii="Aptos" w:hAnsi="Aptos"/>
                <w:b/>
                <w:color w:val="12243A"/>
                <w:sz w:val="18"/>
              </w:rPr>
              <w:t>Holdout size</w:t>
            </w:r>
          </w:p>
        </w:tc>
        <w:tc>
          <w:tcPr>
            <w:tcW w:type="dxa" w:w="4997"/>
            <w:vAlign w:val="center"/>
          </w:tcPr>
          <w:p>
            <w:pPr>
              <w:spacing w:after="40"/>
            </w:pPr>
            <w:r/>
            <w:r>
              <w:rPr>
                <w:rFonts w:ascii="Aptos" w:hAnsi="Aptos"/>
                <w:b w:val="0"/>
                <w:color w:val="30445C"/>
                <w:sz w:val="18"/>
              </w:rPr>
              <w:t>2,413 loans; 16.9% simulated default prevalence</w:t>
            </w:r>
          </w:p>
        </w:tc>
      </w:tr>
      <w:tr>
        <w:tc>
          <w:tcPr>
            <w:tcW w:type="dxa" w:w="4997"/>
            <w:vAlign w:val="center"/>
          </w:tcPr>
          <w:p>
            <w:pPr>
              <w:spacing w:after="40"/>
            </w:pPr>
            <w:r/>
            <w:r>
              <w:rPr>
                <w:rFonts w:ascii="Aptos" w:hAnsi="Aptos"/>
                <w:b/>
                <w:color w:val="12243A"/>
                <w:sz w:val="18"/>
              </w:rPr>
              <w:t>ROC-AUC / Gini</w:t>
            </w:r>
          </w:p>
        </w:tc>
        <w:tc>
          <w:tcPr>
            <w:tcW w:type="dxa" w:w="4997"/>
            <w:vAlign w:val="center"/>
          </w:tcPr>
          <w:p>
            <w:pPr>
              <w:spacing w:after="40"/>
            </w:pPr>
            <w:r/>
            <w:r>
              <w:rPr>
                <w:rFonts w:ascii="Aptos" w:hAnsi="Aptos"/>
                <w:b w:val="0"/>
                <w:color w:val="30445C"/>
                <w:sz w:val="18"/>
              </w:rPr>
              <w:t>0.786 / 0.572</w:t>
            </w:r>
          </w:p>
        </w:tc>
      </w:tr>
      <w:tr>
        <w:tc>
          <w:tcPr>
            <w:tcW w:type="dxa" w:w="4997"/>
            <w:vAlign w:val="center"/>
          </w:tcPr>
          <w:p>
            <w:pPr>
              <w:spacing w:after="40"/>
            </w:pPr>
            <w:r/>
            <w:r>
              <w:rPr>
                <w:rFonts w:ascii="Aptos" w:hAnsi="Aptos"/>
                <w:b/>
                <w:color w:val="12243A"/>
                <w:sz w:val="18"/>
              </w:rPr>
              <w:t>KS / average precision</w:t>
            </w:r>
          </w:p>
        </w:tc>
        <w:tc>
          <w:tcPr>
            <w:tcW w:type="dxa" w:w="4997"/>
            <w:vAlign w:val="center"/>
          </w:tcPr>
          <w:p>
            <w:pPr>
              <w:spacing w:after="40"/>
            </w:pPr>
            <w:r/>
            <w:r>
              <w:rPr>
                <w:rFonts w:ascii="Aptos" w:hAnsi="Aptos"/>
                <w:b w:val="0"/>
                <w:color w:val="30445C"/>
                <w:sz w:val="18"/>
              </w:rPr>
              <w:t>0.455 / 0.462</w:t>
            </w:r>
          </w:p>
        </w:tc>
      </w:tr>
      <w:tr>
        <w:tc>
          <w:tcPr>
            <w:tcW w:type="dxa" w:w="4997"/>
            <w:vAlign w:val="center"/>
          </w:tcPr>
          <w:p>
            <w:pPr>
              <w:spacing w:after="40"/>
            </w:pPr>
            <w:r/>
            <w:r>
              <w:rPr>
                <w:rFonts w:ascii="Aptos" w:hAnsi="Aptos"/>
                <w:b/>
                <w:color w:val="12243A"/>
                <w:sz w:val="18"/>
              </w:rPr>
              <w:t>Brier score</w:t>
            </w:r>
          </w:p>
        </w:tc>
        <w:tc>
          <w:tcPr>
            <w:tcW w:type="dxa" w:w="4997"/>
            <w:vAlign w:val="center"/>
          </w:tcPr>
          <w:p>
            <w:pPr>
              <w:spacing w:after="40"/>
            </w:pPr>
            <w:r/>
            <w:r>
              <w:rPr>
                <w:rFonts w:ascii="Aptos" w:hAnsi="Aptos"/>
                <w:b w:val="0"/>
                <w:color w:val="30445C"/>
                <w:sz w:val="18"/>
              </w:rPr>
              <w:t>0.116</w:t>
            </w:r>
          </w:p>
        </w:tc>
      </w:tr>
      <w:tr>
        <w:tc>
          <w:tcPr>
            <w:tcW w:type="dxa" w:w="4997"/>
            <w:vAlign w:val="center"/>
          </w:tcPr>
          <w:p>
            <w:pPr>
              <w:spacing w:after="40"/>
            </w:pPr>
            <w:r/>
            <w:r>
              <w:rPr>
                <w:rFonts w:ascii="Aptos" w:hAnsi="Aptos"/>
                <w:b/>
                <w:color w:val="12243A"/>
                <w:sz w:val="18"/>
              </w:rPr>
              <w:t>Illustrative 50% cutoff</w:t>
            </w:r>
          </w:p>
        </w:tc>
        <w:tc>
          <w:tcPr>
            <w:tcW w:type="dxa" w:w="4997"/>
            <w:vAlign w:val="center"/>
          </w:tcPr>
          <w:p>
            <w:pPr>
              <w:spacing w:after="40"/>
            </w:pPr>
            <w:r/>
            <w:r>
              <w:rPr>
                <w:rFonts w:ascii="Aptos" w:hAnsi="Aptos"/>
                <w:b w:val="0"/>
                <w:color w:val="30445C"/>
                <w:sz w:val="18"/>
              </w:rPr>
              <w:t>69.9% precision; 14.3% recall; diagnostic only</w:t>
            </w:r>
          </w:p>
        </w:tc>
      </w:tr>
    </w:tbl>
    <w:p>
      <w:pPr>
        <w:pStyle w:val="Heading1"/>
      </w:pPr>
      <w:r>
        <w:t>How to interpret the results</w:t>
      </w:r>
    </w:p>
    <w:p>
      <w:r>
        <w:t>The increasing default rates across the generated A-to-E tiers show that the model and portfolio summaries recover patterns deliberately built into the simulator. This is useful for demonstrating the analysis workflow, but it is not evidence of predictive power on real borrowers. A score threshold is an economic and policy choice; the example cutoff is not a lending recommendation.</w:t>
      </w:r>
    </w:p>
    <w:p>
      <w:r>
        <w:br w:type="page"/>
      </w:r>
    </w:p>
    <w:p>
      <w:pPr>
        <w:spacing w:after="40"/>
      </w:pPr>
      <w:r>
        <w:rPr>
          <w:b/>
          <w:color w:val="147D72"/>
          <w:sz w:val="18"/>
        </w:rPr>
        <w:t>IMPLEMENTATION  /  REPRODUCIBILITY</w:t>
      </w:r>
    </w:p>
    <w:p>
      <w:pPr>
        <w:pStyle w:val="Heading1"/>
      </w:pPr>
      <w:r>
        <w:t>Project files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
              <w:rPr>
                <w:rFonts w:ascii="Aptos" w:hAnsi="Aptos"/>
                <w:b/>
                <w:color w:val="12243A"/>
                <w:sz w:val="17"/>
              </w:rPr>
              <w:t>src/credit_risk.py</w:t>
            </w:r>
          </w:p>
        </w:tc>
        <w:tc>
          <w:tcPr>
            <w:tcW w:type="dxa" w:w="4997"/>
            <w:vAlign w:val="center"/>
          </w:tcPr>
          <w:p>
            <w:pPr>
              <w:spacing w:after="40"/>
            </w:pPr>
            <w:r/>
            <w:r>
              <w:rPr>
                <w:rFonts w:ascii="Aptos" w:hAnsi="Aptos"/>
                <w:b w:val="0"/>
                <w:color w:val="30445C"/>
                <w:sz w:val="17"/>
              </w:rPr>
              <w:t>Creates the synthetic dataset, prepares features, fits the model, and starts the pipeline.</w:t>
            </w:r>
          </w:p>
        </w:tc>
      </w:tr>
      <w:tr>
        <w:tc>
          <w:tcPr>
            <w:tcW w:type="dxa" w:w="4997"/>
            <w:vAlign w:val="center"/>
          </w:tcPr>
          <w:p>
            <w:pPr>
              <w:spacing w:after="40"/>
            </w:pPr>
            <w:r/>
            <w:r>
              <w:rPr>
                <w:rFonts w:ascii="Aptos" w:hAnsi="Aptos"/>
                <w:b/>
                <w:color w:val="12243A"/>
                <w:sz w:val="17"/>
              </w:rPr>
              <w:t>src/portfolio_insights.py</w:t>
            </w:r>
          </w:p>
        </w:tc>
        <w:tc>
          <w:tcPr>
            <w:tcW w:type="dxa" w:w="4997"/>
            <w:vAlign w:val="center"/>
          </w:tcPr>
          <w:p>
            <w:pPr>
              <w:spacing w:after="40"/>
            </w:pPr>
            <w:r/>
            <w:r>
              <w:rPr>
                <w:rFonts w:ascii="Aptos" w:hAnsi="Aptos"/>
                <w:b w:val="0"/>
                <w:color w:val="30445C"/>
                <w:sz w:val="17"/>
              </w:rPr>
              <w:t>Builds portfolio diagnostics, calibration/stability outputs, findings, and dashboard.</w:t>
            </w:r>
          </w:p>
        </w:tc>
      </w:tr>
      <w:tr>
        <w:tc>
          <w:tcPr>
            <w:tcW w:type="dxa" w:w="4997"/>
            <w:vAlign w:val="center"/>
          </w:tcPr>
          <w:p>
            <w:pPr>
              <w:spacing w:after="40"/>
            </w:pPr>
            <w:r/>
            <w:r>
              <w:rPr>
                <w:rFonts w:ascii="Aptos" w:hAnsi="Aptos"/>
                <w:b/>
                <w:color w:val="12243A"/>
                <w:sz w:val="17"/>
              </w:rPr>
              <w:t>data/synthetic_loan_book.csv</w:t>
            </w:r>
          </w:p>
        </w:tc>
        <w:tc>
          <w:tcPr>
            <w:tcW w:type="dxa" w:w="4997"/>
            <w:vAlign w:val="center"/>
          </w:tcPr>
          <w:p>
            <w:pPr>
              <w:spacing w:after="40"/>
            </w:pPr>
            <w:r/>
            <w:r>
              <w:rPr>
                <w:rFonts w:ascii="Aptos" w:hAnsi="Aptos"/>
                <w:b w:val="0"/>
                <w:color w:val="30445C"/>
                <w:sz w:val="17"/>
              </w:rPr>
              <w:t>Generated 12,000-row loan book.</w:t>
            </w:r>
          </w:p>
        </w:tc>
      </w:tr>
      <w:tr>
        <w:tc>
          <w:tcPr>
            <w:tcW w:type="dxa" w:w="4997"/>
            <w:vAlign w:val="center"/>
          </w:tcPr>
          <w:p>
            <w:pPr>
              <w:spacing w:after="40"/>
            </w:pPr>
            <w:r/>
            <w:r>
              <w:rPr>
                <w:rFonts w:ascii="Aptos" w:hAnsi="Aptos"/>
                <w:b/>
                <w:color w:val="12243A"/>
                <w:sz w:val="17"/>
              </w:rPr>
              <w:t>outputs/dashboard.html</w:t>
            </w:r>
          </w:p>
        </w:tc>
        <w:tc>
          <w:tcPr>
            <w:tcW w:type="dxa" w:w="4997"/>
            <w:vAlign w:val="center"/>
          </w:tcPr>
          <w:p>
            <w:pPr>
              <w:spacing w:after="40"/>
            </w:pPr>
            <w:r/>
            <w:r>
              <w:rPr>
                <w:rFonts w:ascii="Aptos" w:hAnsi="Aptos"/>
                <w:b w:val="0"/>
                <w:color w:val="30445C"/>
                <w:sz w:val="17"/>
              </w:rPr>
              <w:t>Standalone portfolio and validation dashboard.</w:t>
            </w:r>
          </w:p>
        </w:tc>
      </w:tr>
      <w:tr>
        <w:tc>
          <w:tcPr>
            <w:tcW w:type="dxa" w:w="4997"/>
            <w:vAlign w:val="center"/>
          </w:tcPr>
          <w:p>
            <w:pPr>
              <w:spacing w:after="40"/>
            </w:pPr>
            <w:r/>
            <w:r>
              <w:rPr>
                <w:rFonts w:ascii="Aptos" w:hAnsi="Aptos"/>
                <w:b/>
                <w:color w:val="12243A"/>
                <w:sz w:val="17"/>
              </w:rPr>
              <w:t>outputs/findings.md</w:t>
            </w:r>
          </w:p>
        </w:tc>
        <w:tc>
          <w:tcPr>
            <w:tcW w:type="dxa" w:w="4997"/>
            <w:vAlign w:val="center"/>
          </w:tcPr>
          <w:p>
            <w:pPr>
              <w:spacing w:after="40"/>
            </w:pPr>
            <w:r/>
            <w:r>
              <w:rPr>
                <w:rFonts w:ascii="Aptos" w:hAnsi="Aptos"/>
                <w:b w:val="0"/>
                <w:color w:val="30445C"/>
                <w:sz w:val="17"/>
              </w:rPr>
              <w:t>Executive findings and interpretation boundaries.</w:t>
            </w:r>
          </w:p>
        </w:tc>
      </w:tr>
      <w:tr>
        <w:tc>
          <w:tcPr>
            <w:tcW w:type="dxa" w:w="4997"/>
            <w:vAlign w:val="center"/>
          </w:tcPr>
          <w:p>
            <w:pPr>
              <w:spacing w:after="40"/>
            </w:pPr>
            <w:r/>
            <w:r>
              <w:rPr>
                <w:rFonts w:ascii="Aptos" w:hAnsi="Aptos"/>
                <w:b/>
                <w:color w:val="12243A"/>
                <w:sz w:val="17"/>
              </w:rPr>
              <w:t>outputs/*.csv</w:t>
            </w:r>
          </w:p>
        </w:tc>
        <w:tc>
          <w:tcPr>
            <w:tcW w:type="dxa" w:w="4997"/>
            <w:vAlign w:val="center"/>
          </w:tcPr>
          <w:p>
            <w:pPr>
              <w:spacing w:after="40"/>
            </w:pPr>
            <w:r/>
            <w:r>
              <w:rPr>
                <w:rFonts w:ascii="Aptos" w:hAnsi="Aptos"/>
                <w:b w:val="0"/>
                <w:color w:val="30445C"/>
                <w:sz w:val="17"/>
              </w:rPr>
              <w:t>Metrics, calibration, feature stability, segment summaries, threshold sensitivity, and holdout scores.</w:t>
            </w:r>
          </w:p>
        </w:tc>
      </w:tr>
      <w:tr>
        <w:tc>
          <w:tcPr>
            <w:tcW w:type="dxa" w:w="4997"/>
            <w:vAlign w:val="center"/>
          </w:tcPr>
          <w:p>
            <w:pPr>
              <w:spacing w:after="40"/>
            </w:pPr>
            <w:r/>
            <w:r>
              <w:rPr>
                <w:rFonts w:ascii="Aptos" w:hAnsi="Aptos"/>
                <w:b/>
                <w:color w:val="12243A"/>
                <w:sz w:val="17"/>
              </w:rPr>
              <w:t>sql/portfolio_analysis.sql</w:t>
            </w:r>
          </w:p>
        </w:tc>
        <w:tc>
          <w:tcPr>
            <w:tcW w:type="dxa" w:w="4997"/>
            <w:vAlign w:val="center"/>
          </w:tcPr>
          <w:p>
            <w:pPr>
              <w:spacing w:after="40"/>
            </w:pPr>
            <w:r/>
            <w:r>
              <w:rPr>
                <w:rFonts w:ascii="Aptos" w:hAnsi="Aptos"/>
                <w:b w:val="0"/>
                <w:color w:val="30445C"/>
                <w:sz w:val="17"/>
              </w:rPr>
              <w:t>Example SQL queries for aggregate, grade, vintage, and term analysis.</w:t>
            </w:r>
          </w:p>
        </w:tc>
      </w:tr>
      <w:tr>
        <w:tc>
          <w:tcPr>
            <w:tcW w:type="dxa" w:w="4997"/>
            <w:vAlign w:val="center"/>
          </w:tcPr>
          <w:p>
            <w:pPr>
              <w:spacing w:after="40"/>
            </w:pPr>
            <w:r/>
            <w:r>
              <w:rPr>
                <w:rFonts w:ascii="Aptos" w:hAnsi="Aptos"/>
                <w:b/>
                <w:color w:val="12243A"/>
                <w:sz w:val="17"/>
              </w:rPr>
              <w:t>README.md</w:t>
            </w:r>
          </w:p>
        </w:tc>
        <w:tc>
          <w:tcPr>
            <w:tcW w:type="dxa" w:w="4997"/>
            <w:vAlign w:val="center"/>
          </w:tcPr>
          <w:p>
            <w:pPr>
              <w:spacing w:after="40"/>
            </w:pPr>
            <w:r/>
            <w:r>
              <w:rPr>
                <w:rFonts w:ascii="Aptos" w:hAnsi="Aptos"/>
                <w:b w:val="0"/>
                <w:color w:val="30445C"/>
                <w:sz w:val="17"/>
              </w:rPr>
              <w:t>Setup, data definitions, method, and limitations.</w:t>
            </w:r>
          </w:p>
        </w:tc>
      </w:tr>
    </w:tbl>
    <w:p>
      <w:pPr>
        <w:pStyle w:val="Heading1"/>
      </w:pPr>
      <w:r>
        <w:t>Run the project</w:t>
      </w:r>
    </w:p>
    <w:p>
      <w:r>
        <w:t>Open the project folder in VS Code, choose Terminal &gt; New Terminal, then run these commands from the project folder:</w:t>
      </w:r>
    </w:p>
    <w:p>
      <w:pPr>
        <w:spacing w:after="80"/>
        <w:ind w:left="259"/>
      </w:pPr>
      <w:r>
        <w:rPr>
          <w:rFonts w:ascii="Consolas" w:hAnsi="Consolas"/>
          <w:color w:val="147D72"/>
          <w:sz w:val="18"/>
        </w:rPr>
        <w:t>python -m pip install -r requirements.txt</w:t>
      </w:r>
    </w:p>
    <w:p>
      <w:pPr>
        <w:spacing w:after="80"/>
        <w:ind w:left="259"/>
      </w:pPr>
      <w:r>
        <w:rPr>
          <w:rFonts w:ascii="Consolas" w:hAnsi="Consolas"/>
          <w:color w:val="147D72"/>
          <w:sz w:val="18"/>
        </w:rPr>
        <w:t>python src/credit_risk.py</w:t>
      </w:r>
    </w:p>
    <w:p>
      <w:r>
        <w:t>Open outputs/dashboard.html in a browser to explore the charts. The fixed seed regenerates the data and outputs when the command is run again.</w:t>
      </w:r>
    </w:p>
    <w:p>
      <w:pPr>
        <w:pStyle w:val="Heading1"/>
      </w:pPr>
      <w:r>
        <w:t>Tools and techniques</w:t>
      </w:r>
    </w:p>
    <w:p>
      <w:r>
        <w:t>Python · NumPy · pandas · logistic regression · temporal holdout validation · ROC-AUC · Gini · KS · average precision · Brier score · calibration · population stability index (PSI) · SQL · HTML · SVG</w:t>
      </w:r>
    </w:p>
    <w:p>
      <w:pPr>
        <w:pStyle w:val="Heading1"/>
      </w:pPr>
      <w:r>
        <w:t>Important limitations</w:t>
      </w:r>
    </w:p>
    <w:p>
      <w:r>
        <w:t>The data-generating process is synthetic and intentionally includes relationships between inputs and outcomes. It omits real-world macroeconomic change, censoring, prepayment, fraud, approval selection, servicing, and decision costs. No protected attributes are included; that alone does not establish fairness. This project is for learning and portfolio demonstration, not underwriting, pricing, provisioning, or a compliance claim. Real use requires representative data, independent validation, legal and subgroup review, governance, decision-cost analysis, and ongoing monitoring.</w:t>
      </w:r>
    </w:p>
    <w:p>
      <w:pPr>
        <w:pStyle w:val="Heading1"/>
      </w:pPr>
      <w:r>
        <w:t>Resume wording</w:t>
      </w:r>
    </w:p>
    <w:p>
      <w:pPr>
        <w:ind w:left="259" w:right="259"/>
      </w:pPr>
      <w:r>
        <w:rPr>
          <w:i/>
          <w:color w:val="42576D"/>
        </w:rPr>
        <w:t>Built an end-to-end credit-risk portfolio analysis using 12,000 synthetic loan records, including vintage and loss analytics, an interpretable logistic regression, chronological validation, calibration diagnostics, and a standalone dashboard.</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292A5"/>
        <w:sz w:val="16"/>
      </w:rPr>
      <w:t>CREDIT RISK PROJECT  ·  SYNTHETIC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D4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243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7D7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